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2A6BA4">
      <w:pPr>
        <w:rPr>
          <w:lang w:val="fr-FR"/>
        </w:rPr>
      </w:pPr>
      <w:r>
        <w:rPr>
          <w:lang w:val="fr-FR"/>
        </w:rPr>
        <w:t>Etude de la langue française : grammaire, conjugaison CM1</w:t>
      </w:r>
    </w:p>
    <w:p w:rsidR="002A6BA4" w:rsidRDefault="002A6BA4">
      <w:pPr>
        <w:rPr>
          <w:lang w:val="fr-FR"/>
        </w:rPr>
      </w:pPr>
    </w:p>
    <w:p w:rsidR="00085278" w:rsidRDefault="00085278">
      <w:pPr>
        <w:rPr>
          <w:lang w:val="fr-FR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676"/>
        <w:gridCol w:w="1667"/>
        <w:gridCol w:w="1596"/>
        <w:gridCol w:w="1455"/>
        <w:gridCol w:w="1514"/>
        <w:gridCol w:w="1417"/>
        <w:gridCol w:w="1425"/>
        <w:gridCol w:w="1694"/>
      </w:tblGrid>
      <w:tr w:rsidR="002A6BA4" w:rsidTr="00ED6BC8">
        <w:tc>
          <w:tcPr>
            <w:tcW w:w="1676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667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Organisation générales de la langue</w:t>
            </w:r>
          </w:p>
        </w:tc>
        <w:tc>
          <w:tcPr>
            <w:tcW w:w="1596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 xml:space="preserve">Capacités </w:t>
            </w:r>
          </w:p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(être capable de)</w:t>
            </w:r>
          </w:p>
        </w:tc>
        <w:tc>
          <w:tcPr>
            <w:tcW w:w="1455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514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417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425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Période 4</w:t>
            </w:r>
          </w:p>
        </w:tc>
        <w:tc>
          <w:tcPr>
            <w:tcW w:w="1694" w:type="dxa"/>
          </w:tcPr>
          <w:p w:rsidR="002A6BA4" w:rsidRDefault="002A6BA4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ED6BC8" w:rsidTr="00ED6BC8">
        <w:tc>
          <w:tcPr>
            <w:tcW w:w="1676" w:type="dxa"/>
            <w:vMerge w:val="restart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Utiliser ses connaissances de la langue</w:t>
            </w:r>
          </w:p>
        </w:tc>
        <w:tc>
          <w:tcPr>
            <w:tcW w:w="3263" w:type="dxa"/>
            <w:gridSpan w:val="2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La phrase</w:t>
            </w:r>
          </w:p>
        </w:tc>
        <w:tc>
          <w:tcPr>
            <w:tcW w:w="2969" w:type="dxa"/>
            <w:gridSpan w:val="2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et identifier les phrases affirmatives, négatives et interrogatives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Passer d’une forme à l’autre</w:t>
            </w:r>
          </w:p>
        </w:tc>
        <w:tc>
          <w:tcPr>
            <w:tcW w:w="2842" w:type="dxa"/>
            <w:gridSpan w:val="2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des phrases injonctives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Déterminer leurs caractéristiques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Produire des phrases injonctives</w:t>
            </w:r>
          </w:p>
        </w:tc>
        <w:tc>
          <w:tcPr>
            <w:tcW w:w="1694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Procéder à des transformations : affirmation/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injonction/interrogation</w:t>
            </w: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1667" w:type="dxa"/>
            <w:vMerge w:val="restart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Effectuer des manipulations dans un texte écrit</w:t>
            </w:r>
          </w:p>
        </w:tc>
        <w:tc>
          <w:tcPr>
            <w:tcW w:w="1596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Identifier et manipuler les phrases</w:t>
            </w:r>
          </w:p>
        </w:tc>
        <w:tc>
          <w:tcPr>
            <w:tcW w:w="2969" w:type="dxa"/>
            <w:gridSpan w:val="2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2842" w:type="dxa"/>
            <w:gridSpan w:val="2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1694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1667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1596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Identifier et utiliser les différents composants d’une phrase</w:t>
            </w:r>
          </w:p>
        </w:tc>
        <w:tc>
          <w:tcPr>
            <w:tcW w:w="4386" w:type="dxa"/>
            <w:gridSpan w:val="3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et utiliser les différents composants de la phrase simple</w:t>
            </w:r>
          </w:p>
        </w:tc>
        <w:tc>
          <w:tcPr>
            <w:tcW w:w="3119" w:type="dxa"/>
            <w:gridSpan w:val="2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Identifier les verbes dans les phrases complexes et donner leurs infinitifs</w:t>
            </w: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3263" w:type="dxa"/>
            <w:gridSpan w:val="2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Les classes de mots</w:t>
            </w:r>
          </w:p>
        </w:tc>
        <w:tc>
          <w:tcPr>
            <w:tcW w:w="1455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et identifier les mots des classes déjà connues</w:t>
            </w:r>
          </w:p>
        </w:tc>
        <w:tc>
          <w:tcPr>
            <w:tcW w:w="1514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et identifier les déterminants démonstratifs</w:t>
            </w:r>
          </w:p>
        </w:tc>
        <w:tc>
          <w:tcPr>
            <w:tcW w:w="1417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et identifier les pronoms personnels</w:t>
            </w:r>
          </w:p>
        </w:tc>
        <w:tc>
          <w:tcPr>
            <w:tcW w:w="1425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et identifier les adverbes</w:t>
            </w:r>
          </w:p>
        </w:tc>
        <w:tc>
          <w:tcPr>
            <w:tcW w:w="1694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Distinguer et identifier les pronoms relatifs (qui, que)</w:t>
            </w: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1667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Savoir désigner les mots</w:t>
            </w:r>
          </w:p>
        </w:tc>
        <w:tc>
          <w:tcPr>
            <w:tcW w:w="1596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Identifier la nature d’un mot</w:t>
            </w:r>
          </w:p>
        </w:tc>
        <w:tc>
          <w:tcPr>
            <w:tcW w:w="1455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1514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1417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1425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1694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3263" w:type="dxa"/>
            <w:gridSpan w:val="2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Les fonctions</w:t>
            </w:r>
          </w:p>
        </w:tc>
        <w:tc>
          <w:tcPr>
            <w:tcW w:w="4386" w:type="dxa"/>
            <w:gridSpan w:val="3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Dans la phrase simple, identifier le verbe, le sujet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Déterminer les compléments de verbe : COD, COI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Reconnaître les compléments circonstanciels de temps, de lieu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Différencier compléments d’objet et compléments circonstanciels</w:t>
            </w:r>
          </w:p>
        </w:tc>
        <w:tc>
          <w:tcPr>
            <w:tcW w:w="3119" w:type="dxa"/>
            <w:gridSpan w:val="2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les fonctions de l’adjectif qualificatif (épithète, attribut)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Reconnaître l’attribut du sujet</w:t>
            </w: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1667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Comprendre l’organisation de la phrase</w:t>
            </w:r>
          </w:p>
        </w:tc>
        <w:tc>
          <w:tcPr>
            <w:tcW w:w="1596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Connaître la fonction d’un mot ou d’un groupe de mots</w:t>
            </w:r>
          </w:p>
        </w:tc>
        <w:tc>
          <w:tcPr>
            <w:tcW w:w="4386" w:type="dxa"/>
            <w:gridSpan w:val="3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3119" w:type="dxa"/>
            <w:gridSpan w:val="2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</w:tr>
      <w:tr w:rsidR="00ED6BC8" w:rsidTr="00ED6BC8">
        <w:tc>
          <w:tcPr>
            <w:tcW w:w="1676" w:type="dxa"/>
            <w:vMerge/>
          </w:tcPr>
          <w:p w:rsidR="00ED6BC8" w:rsidRDefault="00ED6BC8">
            <w:pPr>
              <w:rPr>
                <w:lang w:val="fr-FR"/>
              </w:rPr>
            </w:pPr>
          </w:p>
        </w:tc>
        <w:tc>
          <w:tcPr>
            <w:tcW w:w="3263" w:type="dxa"/>
            <w:gridSpan w:val="2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t>Le verbe</w:t>
            </w:r>
          </w:p>
        </w:tc>
        <w:tc>
          <w:tcPr>
            <w:tcW w:w="1455" w:type="dxa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Reconnaître le verbe dans une phrase</w:t>
            </w:r>
          </w:p>
        </w:tc>
        <w:tc>
          <w:tcPr>
            <w:tcW w:w="2931" w:type="dxa"/>
            <w:gridSpan w:val="2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la différence entre temps simple et temps composé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Comprendre la notion d’auxiliaire</w:t>
            </w:r>
          </w:p>
        </w:tc>
        <w:tc>
          <w:tcPr>
            <w:tcW w:w="3119" w:type="dxa"/>
            <w:gridSpan w:val="2"/>
            <w:vMerge w:val="restart"/>
          </w:tcPr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Observer et mémoriser la construction des verbes à un temps composé</w:t>
            </w:r>
          </w:p>
          <w:p w:rsidR="00ED6BC8" w:rsidRDefault="00ED6BC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lastRenderedPageBreak/>
              <w:t>Manipuler la construction de quelques verbes fréquents</w:t>
            </w:r>
          </w:p>
        </w:tc>
      </w:tr>
      <w:tr w:rsidR="00ED6BC8" w:rsidTr="00ED6BC8">
        <w:tc>
          <w:tcPr>
            <w:tcW w:w="1676" w:type="dxa"/>
            <w:vMerge/>
          </w:tcPr>
          <w:p w:rsidR="00ED6BC8" w:rsidRPr="00ED6BC8" w:rsidRDefault="00ED6BC8">
            <w:pPr>
              <w:rPr>
                <w:lang w:val="fr-FR"/>
              </w:rPr>
            </w:pPr>
          </w:p>
        </w:tc>
        <w:tc>
          <w:tcPr>
            <w:tcW w:w="1667" w:type="dxa"/>
            <w:vMerge w:val="restart"/>
          </w:tcPr>
          <w:p w:rsidR="00ED6BC8" w:rsidRPr="00ED6BC8" w:rsidRDefault="00ED6BC8">
            <w:pPr>
              <w:rPr>
                <w:lang w:val="fr-FR"/>
              </w:rPr>
            </w:pPr>
            <w:r w:rsidRPr="00ED6BC8">
              <w:rPr>
                <w:lang w:val="fr-FR"/>
              </w:rPr>
              <w:t xml:space="preserve">Savoir utiliser différents </w:t>
            </w:r>
            <w:r w:rsidRPr="00ED6BC8">
              <w:rPr>
                <w:lang w:val="fr-FR"/>
              </w:rPr>
              <w:lastRenderedPageBreak/>
              <w:t>indices pour identifier les verbes</w:t>
            </w:r>
          </w:p>
        </w:tc>
        <w:tc>
          <w:tcPr>
            <w:tcW w:w="1596" w:type="dxa"/>
          </w:tcPr>
          <w:p w:rsidR="00ED6BC8" w:rsidRDefault="00ED6BC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Identifier le verbe dans une </w:t>
            </w:r>
            <w:r>
              <w:rPr>
                <w:lang w:val="fr-FR"/>
              </w:rPr>
              <w:lastRenderedPageBreak/>
              <w:t>phrase précise</w:t>
            </w:r>
          </w:p>
        </w:tc>
        <w:tc>
          <w:tcPr>
            <w:tcW w:w="1455" w:type="dxa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2931" w:type="dxa"/>
            <w:gridSpan w:val="2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  <w:tc>
          <w:tcPr>
            <w:tcW w:w="3119" w:type="dxa"/>
            <w:gridSpan w:val="2"/>
            <w:vMerge/>
          </w:tcPr>
          <w:p w:rsidR="00ED6BC8" w:rsidRDefault="00ED6BC8" w:rsidP="002A6BA4">
            <w:pPr>
              <w:jc w:val="left"/>
              <w:rPr>
                <w:lang w:val="fr-FR"/>
              </w:rPr>
            </w:pPr>
          </w:p>
        </w:tc>
      </w:tr>
      <w:tr w:rsidR="00085278" w:rsidTr="00426EAA">
        <w:tc>
          <w:tcPr>
            <w:tcW w:w="1676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1667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1596" w:type="dxa"/>
          </w:tcPr>
          <w:p w:rsidR="00085278" w:rsidRDefault="00085278">
            <w:pPr>
              <w:rPr>
                <w:lang w:val="fr-FR"/>
              </w:rPr>
            </w:pPr>
            <w:r>
              <w:rPr>
                <w:lang w:val="fr-FR"/>
              </w:rPr>
              <w:t>Savoir conjuguer un verbe</w:t>
            </w:r>
          </w:p>
        </w:tc>
        <w:tc>
          <w:tcPr>
            <w:tcW w:w="2969" w:type="dxa"/>
            <w:gridSpan w:val="2"/>
          </w:tcPr>
          <w:p w:rsidR="00085278" w:rsidRDefault="00085278" w:rsidP="00CD403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Revoir et consolider les conjugaisons au présent, futur, imparfait des verbes du 1</w:t>
            </w:r>
            <w:r w:rsidRPr="00CD4036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et 2</w:t>
            </w:r>
            <w:r w:rsidRPr="00CD4036">
              <w:rPr>
                <w:vertAlign w:val="superscript"/>
                <w:lang w:val="fr-FR"/>
              </w:rPr>
              <w:t>ème</w:t>
            </w:r>
            <w:r>
              <w:rPr>
                <w:lang w:val="fr-FR"/>
              </w:rPr>
              <w:t xml:space="preserve"> groupe</w:t>
            </w:r>
          </w:p>
        </w:tc>
        <w:tc>
          <w:tcPr>
            <w:tcW w:w="1417" w:type="dxa"/>
          </w:tcPr>
          <w:p w:rsidR="00085278" w:rsidRDefault="00085278" w:rsidP="00CD403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Revoir et consolider les conjugaisons des verbes du 1er et 2ème groupe au passé composé</w:t>
            </w:r>
          </w:p>
        </w:tc>
        <w:tc>
          <w:tcPr>
            <w:tcW w:w="1425" w:type="dxa"/>
          </w:tcPr>
          <w:p w:rsidR="00085278" w:rsidRDefault="00085278" w:rsidP="00ED6BC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les spécificités de l’impératif et l’employer pour des verbes déjà étudiés</w:t>
            </w:r>
          </w:p>
        </w:tc>
        <w:tc>
          <w:tcPr>
            <w:tcW w:w="1694" w:type="dxa"/>
          </w:tcPr>
          <w:p w:rsidR="00085278" w:rsidRDefault="0008527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Conjuguer des verbes non étudiés en appliquant des règles apprises</w:t>
            </w:r>
          </w:p>
        </w:tc>
      </w:tr>
      <w:tr w:rsidR="00085278" w:rsidTr="00C102F7">
        <w:tc>
          <w:tcPr>
            <w:tcW w:w="1676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3263" w:type="dxa"/>
            <w:gridSpan w:val="2"/>
          </w:tcPr>
          <w:p w:rsidR="00085278" w:rsidRDefault="00085278">
            <w:pPr>
              <w:rPr>
                <w:lang w:val="fr-FR"/>
              </w:rPr>
            </w:pPr>
            <w:r>
              <w:rPr>
                <w:lang w:val="fr-FR"/>
              </w:rPr>
              <w:t>Les accords</w:t>
            </w:r>
          </w:p>
        </w:tc>
        <w:tc>
          <w:tcPr>
            <w:tcW w:w="1455" w:type="dxa"/>
            <w:vMerge w:val="restart"/>
            <w:tcBorders>
              <w:right w:val="single" w:sz="4" w:space="0" w:color="auto"/>
            </w:tcBorders>
          </w:tcPr>
          <w:p w:rsidR="00085278" w:rsidRDefault="00085278" w:rsidP="00CD4036">
            <w:pPr>
              <w:jc w:val="left"/>
              <w:rPr>
                <w:lang w:val="fr-FR"/>
              </w:rPr>
            </w:pPr>
          </w:p>
        </w:tc>
        <w:tc>
          <w:tcPr>
            <w:tcW w:w="2931" w:type="dxa"/>
            <w:gridSpan w:val="2"/>
            <w:vMerge w:val="restart"/>
            <w:tcBorders>
              <w:left w:val="single" w:sz="4" w:space="0" w:color="auto"/>
            </w:tcBorders>
          </w:tcPr>
          <w:p w:rsidR="00085278" w:rsidRDefault="00085278" w:rsidP="00CD4036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Comprendre, mémoriser et utiliser la règle d’accord du participe passé des verbes construits avec être</w:t>
            </w:r>
          </w:p>
        </w:tc>
        <w:tc>
          <w:tcPr>
            <w:tcW w:w="3119" w:type="dxa"/>
            <w:gridSpan w:val="2"/>
            <w:vMerge w:val="restart"/>
          </w:tcPr>
          <w:p w:rsidR="00085278" w:rsidRDefault="0008527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Comprendre, mémoriser et utiliser les règles d’accord avec le nom (épithète, attribut)</w:t>
            </w:r>
          </w:p>
        </w:tc>
      </w:tr>
      <w:tr w:rsidR="00085278" w:rsidTr="00C102F7">
        <w:trPr>
          <w:trHeight w:val="269"/>
        </w:trPr>
        <w:tc>
          <w:tcPr>
            <w:tcW w:w="1676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1667" w:type="dxa"/>
            <w:vMerge w:val="restart"/>
          </w:tcPr>
          <w:p w:rsidR="00085278" w:rsidRPr="00ED6BC8" w:rsidRDefault="00085278">
            <w:pPr>
              <w:rPr>
                <w:lang w:val="fr-FR"/>
              </w:rPr>
            </w:pPr>
            <w:r>
              <w:rPr>
                <w:lang w:val="fr-FR"/>
              </w:rPr>
              <w:t>Comprendre les relations entre les différents groupes de la phrase</w:t>
            </w:r>
          </w:p>
        </w:tc>
        <w:tc>
          <w:tcPr>
            <w:tcW w:w="1596" w:type="dxa"/>
            <w:vMerge w:val="restart"/>
          </w:tcPr>
          <w:p w:rsidR="00085278" w:rsidRDefault="00085278">
            <w:pPr>
              <w:rPr>
                <w:lang w:val="fr-FR"/>
              </w:rPr>
            </w:pPr>
            <w:r>
              <w:rPr>
                <w:lang w:val="fr-FR"/>
              </w:rPr>
              <w:t>Utiliser les règles d’accords.</w:t>
            </w:r>
          </w:p>
        </w:tc>
        <w:tc>
          <w:tcPr>
            <w:tcW w:w="1455" w:type="dxa"/>
            <w:vMerge/>
            <w:tcBorders>
              <w:right w:val="single" w:sz="4" w:space="0" w:color="auto"/>
            </w:tcBorders>
          </w:tcPr>
          <w:p w:rsidR="00085278" w:rsidRDefault="00085278" w:rsidP="00CD4036">
            <w:pPr>
              <w:jc w:val="left"/>
              <w:rPr>
                <w:lang w:val="fr-FR"/>
              </w:rPr>
            </w:pPr>
          </w:p>
        </w:tc>
        <w:tc>
          <w:tcPr>
            <w:tcW w:w="2931" w:type="dxa"/>
            <w:gridSpan w:val="2"/>
            <w:vMerge/>
            <w:tcBorders>
              <w:left w:val="single" w:sz="4" w:space="0" w:color="auto"/>
            </w:tcBorders>
          </w:tcPr>
          <w:p w:rsidR="00085278" w:rsidRDefault="00085278" w:rsidP="00CD4036">
            <w:pPr>
              <w:jc w:val="left"/>
              <w:rPr>
                <w:lang w:val="fr-FR"/>
              </w:rPr>
            </w:pPr>
          </w:p>
        </w:tc>
        <w:tc>
          <w:tcPr>
            <w:tcW w:w="3119" w:type="dxa"/>
            <w:gridSpan w:val="2"/>
            <w:vMerge/>
          </w:tcPr>
          <w:p w:rsidR="00085278" w:rsidRDefault="00085278" w:rsidP="002A6BA4">
            <w:pPr>
              <w:jc w:val="left"/>
              <w:rPr>
                <w:lang w:val="fr-FR"/>
              </w:rPr>
            </w:pPr>
          </w:p>
        </w:tc>
      </w:tr>
      <w:tr w:rsidR="00085278" w:rsidTr="00FE3FEC">
        <w:tc>
          <w:tcPr>
            <w:tcW w:w="1676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1667" w:type="dxa"/>
            <w:vMerge/>
          </w:tcPr>
          <w:p w:rsidR="00085278" w:rsidRPr="00ED6BC8" w:rsidRDefault="00085278">
            <w:pPr>
              <w:rPr>
                <w:lang w:val="fr-FR"/>
              </w:rPr>
            </w:pPr>
          </w:p>
        </w:tc>
        <w:tc>
          <w:tcPr>
            <w:tcW w:w="1596" w:type="dxa"/>
            <w:vMerge/>
          </w:tcPr>
          <w:p w:rsidR="00085278" w:rsidRDefault="00085278">
            <w:pPr>
              <w:rPr>
                <w:lang w:val="fr-FR"/>
              </w:rPr>
            </w:pPr>
          </w:p>
        </w:tc>
        <w:tc>
          <w:tcPr>
            <w:tcW w:w="7505" w:type="dxa"/>
            <w:gridSpan w:val="5"/>
          </w:tcPr>
          <w:p w:rsidR="00085278" w:rsidRDefault="00085278" w:rsidP="002A6BA4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Marquer les accords dans le groupe nominal et les accords sujet/verbe</w:t>
            </w:r>
          </w:p>
        </w:tc>
      </w:tr>
    </w:tbl>
    <w:p w:rsidR="002A6BA4" w:rsidRPr="002A6BA4" w:rsidRDefault="002A6BA4">
      <w:pPr>
        <w:rPr>
          <w:lang w:val="fr-FR"/>
        </w:rPr>
      </w:pPr>
    </w:p>
    <w:sectPr w:rsidR="002A6BA4" w:rsidRPr="002A6BA4" w:rsidSect="002A6B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BA4"/>
    <w:rsid w:val="000416DD"/>
    <w:rsid w:val="00085278"/>
    <w:rsid w:val="002A6BA4"/>
    <w:rsid w:val="00444F53"/>
    <w:rsid w:val="0049532E"/>
    <w:rsid w:val="004F0BF6"/>
    <w:rsid w:val="00594D75"/>
    <w:rsid w:val="00825961"/>
    <w:rsid w:val="008B4D43"/>
    <w:rsid w:val="00CD4036"/>
    <w:rsid w:val="00E73422"/>
    <w:rsid w:val="00EB345F"/>
    <w:rsid w:val="00ED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6B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1</cp:revision>
  <dcterms:created xsi:type="dcterms:W3CDTF">2008-11-03T09:09:00Z</dcterms:created>
  <dcterms:modified xsi:type="dcterms:W3CDTF">2008-11-03T09:45:00Z</dcterms:modified>
</cp:coreProperties>
</file>