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D75" w:rsidRDefault="007E4B03">
      <w:pPr>
        <w:rPr>
          <w:lang w:val="fr-FR"/>
        </w:rPr>
      </w:pPr>
      <w:r>
        <w:rPr>
          <w:lang w:val="fr-FR"/>
        </w:rPr>
        <w:t>Orthographe CM1</w:t>
      </w:r>
    </w:p>
    <w:p w:rsidR="007E4B03" w:rsidRDefault="007E4B03">
      <w:pPr>
        <w:rPr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1742"/>
        <w:gridCol w:w="1740"/>
        <w:gridCol w:w="2175"/>
        <w:gridCol w:w="1711"/>
        <w:gridCol w:w="1734"/>
        <w:gridCol w:w="1716"/>
        <w:gridCol w:w="1716"/>
        <w:gridCol w:w="1686"/>
      </w:tblGrid>
      <w:tr w:rsidR="00EC1C7B" w:rsidTr="00EC1C7B">
        <w:tc>
          <w:tcPr>
            <w:tcW w:w="1742" w:type="dxa"/>
          </w:tcPr>
          <w:p w:rsidR="00EC1C7B" w:rsidRDefault="00EC1C7B">
            <w:pPr>
              <w:rPr>
                <w:lang w:val="fr-FR"/>
              </w:rPr>
            </w:pPr>
            <w:r>
              <w:rPr>
                <w:lang w:val="fr-FR"/>
              </w:rPr>
              <w:t>Connaissances et compétences</w:t>
            </w:r>
          </w:p>
        </w:tc>
        <w:tc>
          <w:tcPr>
            <w:tcW w:w="1740" w:type="dxa"/>
          </w:tcPr>
          <w:p w:rsidR="00EC1C7B" w:rsidRDefault="00EC1C7B">
            <w:pPr>
              <w:rPr>
                <w:lang w:val="fr-FR"/>
              </w:rPr>
            </w:pPr>
            <w:r>
              <w:rPr>
                <w:lang w:val="fr-FR"/>
              </w:rPr>
              <w:t>Orientations générales</w:t>
            </w:r>
          </w:p>
        </w:tc>
        <w:tc>
          <w:tcPr>
            <w:tcW w:w="2175" w:type="dxa"/>
          </w:tcPr>
          <w:p w:rsidR="00EC1C7B" w:rsidRDefault="00EC1C7B">
            <w:pPr>
              <w:rPr>
                <w:lang w:val="fr-FR"/>
              </w:rPr>
            </w:pPr>
            <w:r>
              <w:rPr>
                <w:lang w:val="fr-FR"/>
              </w:rPr>
              <w:t>Capacités</w:t>
            </w:r>
          </w:p>
          <w:p w:rsidR="00EC1C7B" w:rsidRDefault="00EC1C7B">
            <w:pPr>
              <w:rPr>
                <w:lang w:val="fr-FR"/>
              </w:rPr>
            </w:pPr>
            <w:r>
              <w:rPr>
                <w:lang w:val="fr-FR"/>
              </w:rPr>
              <w:t>(être capable de)</w:t>
            </w:r>
          </w:p>
        </w:tc>
        <w:tc>
          <w:tcPr>
            <w:tcW w:w="1711" w:type="dxa"/>
          </w:tcPr>
          <w:p w:rsidR="00EC1C7B" w:rsidRDefault="00EC1C7B">
            <w:pPr>
              <w:rPr>
                <w:lang w:val="fr-FR"/>
              </w:rPr>
            </w:pPr>
            <w:r>
              <w:rPr>
                <w:lang w:val="fr-FR"/>
              </w:rPr>
              <w:t>Période 1</w:t>
            </w:r>
          </w:p>
        </w:tc>
        <w:tc>
          <w:tcPr>
            <w:tcW w:w="1734" w:type="dxa"/>
          </w:tcPr>
          <w:p w:rsidR="00EC1C7B" w:rsidRDefault="00EC1C7B">
            <w:pPr>
              <w:rPr>
                <w:lang w:val="fr-FR"/>
              </w:rPr>
            </w:pPr>
            <w:r>
              <w:rPr>
                <w:lang w:val="fr-FR"/>
              </w:rPr>
              <w:t>Période 2</w:t>
            </w:r>
          </w:p>
        </w:tc>
        <w:tc>
          <w:tcPr>
            <w:tcW w:w="1716" w:type="dxa"/>
          </w:tcPr>
          <w:p w:rsidR="00EC1C7B" w:rsidRDefault="00EC1C7B">
            <w:pPr>
              <w:rPr>
                <w:lang w:val="fr-FR"/>
              </w:rPr>
            </w:pPr>
            <w:r>
              <w:rPr>
                <w:lang w:val="fr-FR"/>
              </w:rPr>
              <w:t>Période 3</w:t>
            </w:r>
          </w:p>
        </w:tc>
        <w:tc>
          <w:tcPr>
            <w:tcW w:w="1716" w:type="dxa"/>
          </w:tcPr>
          <w:p w:rsidR="00EC1C7B" w:rsidRDefault="00EC1C7B">
            <w:pPr>
              <w:rPr>
                <w:lang w:val="fr-FR"/>
              </w:rPr>
            </w:pPr>
            <w:r>
              <w:rPr>
                <w:lang w:val="fr-FR"/>
              </w:rPr>
              <w:t xml:space="preserve">Période 4 </w:t>
            </w:r>
          </w:p>
        </w:tc>
        <w:tc>
          <w:tcPr>
            <w:tcW w:w="1686" w:type="dxa"/>
          </w:tcPr>
          <w:p w:rsidR="00EC1C7B" w:rsidRDefault="00EC1C7B">
            <w:pPr>
              <w:rPr>
                <w:lang w:val="fr-FR"/>
              </w:rPr>
            </w:pPr>
            <w:r>
              <w:rPr>
                <w:lang w:val="fr-FR"/>
              </w:rPr>
              <w:t>Période 5</w:t>
            </w:r>
          </w:p>
        </w:tc>
      </w:tr>
      <w:tr w:rsidR="00580AF2" w:rsidTr="00EC1C7B">
        <w:tc>
          <w:tcPr>
            <w:tcW w:w="1742" w:type="dxa"/>
            <w:vMerge w:val="restart"/>
          </w:tcPr>
          <w:p w:rsidR="00580AF2" w:rsidRDefault="00580AF2">
            <w:pPr>
              <w:rPr>
                <w:lang w:val="fr-FR"/>
              </w:rPr>
            </w:pPr>
            <w:r>
              <w:rPr>
                <w:lang w:val="fr-FR"/>
              </w:rPr>
              <w:t>Ecrire lisiblement et correctement un texte</w:t>
            </w:r>
          </w:p>
        </w:tc>
        <w:tc>
          <w:tcPr>
            <w:tcW w:w="1740" w:type="dxa"/>
            <w:vMerge w:val="restart"/>
          </w:tcPr>
          <w:p w:rsidR="00580AF2" w:rsidRDefault="00580AF2">
            <w:pPr>
              <w:rPr>
                <w:lang w:val="fr-FR"/>
              </w:rPr>
            </w:pPr>
            <w:r>
              <w:rPr>
                <w:lang w:val="fr-FR"/>
              </w:rPr>
              <w:t>Ecrire sans erreur un texte en mobilisant ses connaissances</w:t>
            </w:r>
          </w:p>
        </w:tc>
        <w:tc>
          <w:tcPr>
            <w:tcW w:w="2175" w:type="dxa"/>
            <w:vMerge w:val="restart"/>
          </w:tcPr>
          <w:p w:rsidR="00580AF2" w:rsidRDefault="00580AF2" w:rsidP="00EC1C7B">
            <w:pPr>
              <w:rPr>
                <w:lang w:val="fr-FR"/>
              </w:rPr>
            </w:pPr>
            <w:r>
              <w:rPr>
                <w:lang w:val="fr-FR"/>
              </w:rPr>
              <w:t>Connaître les correspondances graphophonologiques</w:t>
            </w:r>
          </w:p>
        </w:tc>
        <w:tc>
          <w:tcPr>
            <w:tcW w:w="8563" w:type="dxa"/>
            <w:gridSpan w:val="5"/>
          </w:tcPr>
          <w:p w:rsidR="00580AF2" w:rsidRDefault="00580AF2" w:rsidP="00EC1C7B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Connaître et respecter les correspondances entre lettres et sons (en fonction des besoins individuels)</w:t>
            </w:r>
          </w:p>
        </w:tc>
      </w:tr>
      <w:tr w:rsidR="00580AF2" w:rsidTr="00EC1C7B">
        <w:tc>
          <w:tcPr>
            <w:tcW w:w="1742" w:type="dxa"/>
            <w:vMerge/>
          </w:tcPr>
          <w:p w:rsidR="00580AF2" w:rsidRDefault="00580AF2">
            <w:pPr>
              <w:rPr>
                <w:lang w:val="fr-FR"/>
              </w:rPr>
            </w:pPr>
          </w:p>
        </w:tc>
        <w:tc>
          <w:tcPr>
            <w:tcW w:w="1740" w:type="dxa"/>
            <w:vMerge/>
          </w:tcPr>
          <w:p w:rsidR="00580AF2" w:rsidRDefault="00580AF2">
            <w:pPr>
              <w:rPr>
                <w:lang w:val="fr-FR"/>
              </w:rPr>
            </w:pPr>
          </w:p>
        </w:tc>
        <w:tc>
          <w:tcPr>
            <w:tcW w:w="2175" w:type="dxa"/>
            <w:vMerge/>
          </w:tcPr>
          <w:p w:rsidR="00580AF2" w:rsidRDefault="00580AF2">
            <w:pPr>
              <w:rPr>
                <w:lang w:val="fr-FR"/>
              </w:rPr>
            </w:pPr>
          </w:p>
        </w:tc>
        <w:tc>
          <w:tcPr>
            <w:tcW w:w="1711" w:type="dxa"/>
          </w:tcPr>
          <w:p w:rsidR="00580AF2" w:rsidRDefault="00580AF2" w:rsidP="00EC1C7B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Mémoriser les graphies d’un même son</w:t>
            </w:r>
          </w:p>
        </w:tc>
        <w:tc>
          <w:tcPr>
            <w:tcW w:w="1734" w:type="dxa"/>
          </w:tcPr>
          <w:p w:rsidR="00580AF2" w:rsidRDefault="00580AF2" w:rsidP="00EC1C7B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Respecter les valeurs de lettres et utiliser correctement les accents</w:t>
            </w:r>
          </w:p>
        </w:tc>
        <w:tc>
          <w:tcPr>
            <w:tcW w:w="1716" w:type="dxa"/>
          </w:tcPr>
          <w:p w:rsidR="00580AF2" w:rsidRDefault="00580AF2" w:rsidP="00EC1C7B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Maîtriser les oppositions ai/</w:t>
            </w:r>
            <w:proofErr w:type="spellStart"/>
            <w:r>
              <w:rPr>
                <w:lang w:val="fr-FR"/>
              </w:rPr>
              <w:t>ia</w:t>
            </w:r>
            <w:proofErr w:type="spellEnd"/>
          </w:p>
          <w:p w:rsidR="00580AF2" w:rsidRDefault="00580AF2" w:rsidP="00EC1C7B">
            <w:pPr>
              <w:jc w:val="left"/>
              <w:rPr>
                <w:lang w:val="fr-FR"/>
              </w:rPr>
            </w:pPr>
            <w:proofErr w:type="spellStart"/>
            <w:r>
              <w:rPr>
                <w:lang w:val="fr-FR"/>
              </w:rPr>
              <w:t>Ein</w:t>
            </w:r>
            <w:proofErr w:type="spellEnd"/>
            <w:r>
              <w:rPr>
                <w:lang w:val="fr-FR"/>
              </w:rPr>
              <w:t>/</w:t>
            </w:r>
            <w:proofErr w:type="spellStart"/>
            <w:r>
              <w:rPr>
                <w:lang w:val="fr-FR"/>
              </w:rPr>
              <w:t>ien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etc</w:t>
            </w:r>
            <w:proofErr w:type="spellEnd"/>
            <w:r>
              <w:rPr>
                <w:lang w:val="fr-FR"/>
              </w:rPr>
              <w:t>…</w:t>
            </w:r>
          </w:p>
        </w:tc>
        <w:tc>
          <w:tcPr>
            <w:tcW w:w="1716" w:type="dxa"/>
          </w:tcPr>
          <w:p w:rsidR="00580AF2" w:rsidRDefault="00580AF2" w:rsidP="00EC1C7B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Maîtriser les oppositions tri/tir, </w:t>
            </w:r>
            <w:proofErr w:type="spellStart"/>
            <w:r>
              <w:rPr>
                <w:lang w:val="fr-FR"/>
              </w:rPr>
              <w:t>pla</w:t>
            </w:r>
            <w:proofErr w:type="spellEnd"/>
            <w:r>
              <w:rPr>
                <w:lang w:val="fr-FR"/>
              </w:rPr>
              <w:t>/pal…</w:t>
            </w:r>
          </w:p>
        </w:tc>
        <w:tc>
          <w:tcPr>
            <w:tcW w:w="1686" w:type="dxa"/>
          </w:tcPr>
          <w:p w:rsidR="00580AF2" w:rsidRDefault="00580AF2" w:rsidP="00EC1C7B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Repérer les lettres muettes à la fin d’un mot</w:t>
            </w:r>
          </w:p>
        </w:tc>
      </w:tr>
      <w:tr w:rsidR="00580AF2" w:rsidTr="00E60F7A">
        <w:tc>
          <w:tcPr>
            <w:tcW w:w="1742" w:type="dxa"/>
            <w:vMerge/>
          </w:tcPr>
          <w:p w:rsidR="00580AF2" w:rsidRDefault="00580AF2">
            <w:pPr>
              <w:rPr>
                <w:lang w:val="fr-FR"/>
              </w:rPr>
            </w:pPr>
          </w:p>
        </w:tc>
        <w:tc>
          <w:tcPr>
            <w:tcW w:w="1740" w:type="dxa"/>
            <w:vMerge/>
          </w:tcPr>
          <w:p w:rsidR="00580AF2" w:rsidRDefault="00580AF2">
            <w:pPr>
              <w:rPr>
                <w:lang w:val="fr-FR"/>
              </w:rPr>
            </w:pPr>
          </w:p>
        </w:tc>
        <w:tc>
          <w:tcPr>
            <w:tcW w:w="2175" w:type="dxa"/>
            <w:vMerge w:val="restart"/>
          </w:tcPr>
          <w:p w:rsidR="00580AF2" w:rsidRDefault="00580AF2">
            <w:pPr>
              <w:rPr>
                <w:lang w:val="fr-FR"/>
              </w:rPr>
            </w:pPr>
            <w:r>
              <w:rPr>
                <w:lang w:val="fr-FR"/>
              </w:rPr>
              <w:t>Orthographier correctement les mots d’usage</w:t>
            </w:r>
          </w:p>
        </w:tc>
        <w:tc>
          <w:tcPr>
            <w:tcW w:w="8563" w:type="dxa"/>
            <w:gridSpan w:val="5"/>
          </w:tcPr>
          <w:p w:rsidR="00580AF2" w:rsidRDefault="00580AF2" w:rsidP="00EC1C7B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Ecrire sans erreurs des mots d’usage et les mots invariables</w:t>
            </w:r>
          </w:p>
        </w:tc>
      </w:tr>
      <w:tr w:rsidR="00580AF2" w:rsidTr="00877DAD">
        <w:tc>
          <w:tcPr>
            <w:tcW w:w="1742" w:type="dxa"/>
            <w:vMerge/>
          </w:tcPr>
          <w:p w:rsidR="00580AF2" w:rsidRDefault="00580AF2">
            <w:pPr>
              <w:rPr>
                <w:lang w:val="fr-FR"/>
              </w:rPr>
            </w:pPr>
          </w:p>
        </w:tc>
        <w:tc>
          <w:tcPr>
            <w:tcW w:w="1740" w:type="dxa"/>
            <w:vMerge/>
          </w:tcPr>
          <w:p w:rsidR="00580AF2" w:rsidRDefault="00580AF2">
            <w:pPr>
              <w:rPr>
                <w:lang w:val="fr-FR"/>
              </w:rPr>
            </w:pPr>
          </w:p>
        </w:tc>
        <w:tc>
          <w:tcPr>
            <w:tcW w:w="2175" w:type="dxa"/>
            <w:vMerge/>
          </w:tcPr>
          <w:p w:rsidR="00580AF2" w:rsidRDefault="00580AF2">
            <w:pPr>
              <w:rPr>
                <w:lang w:val="fr-FR"/>
              </w:rPr>
            </w:pPr>
          </w:p>
        </w:tc>
        <w:tc>
          <w:tcPr>
            <w:tcW w:w="1711" w:type="dxa"/>
          </w:tcPr>
          <w:p w:rsidR="00580AF2" w:rsidRDefault="00580AF2" w:rsidP="00EC1C7B">
            <w:pPr>
              <w:jc w:val="left"/>
              <w:rPr>
                <w:lang w:val="fr-FR"/>
              </w:rPr>
            </w:pPr>
          </w:p>
        </w:tc>
        <w:tc>
          <w:tcPr>
            <w:tcW w:w="1734" w:type="dxa"/>
          </w:tcPr>
          <w:p w:rsidR="00580AF2" w:rsidRDefault="00580AF2" w:rsidP="00EC1C7B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S’appuyer sur des familles de mots pour écrire sans erreur des mots nouveaux</w:t>
            </w:r>
          </w:p>
        </w:tc>
        <w:tc>
          <w:tcPr>
            <w:tcW w:w="1716" w:type="dxa"/>
          </w:tcPr>
          <w:p w:rsidR="00580AF2" w:rsidRDefault="00580AF2" w:rsidP="00EC1C7B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Repérer et mémoriser les graphies des syllabes finales des mots terminés par ail, </w:t>
            </w:r>
            <w:proofErr w:type="spellStart"/>
            <w:r>
              <w:rPr>
                <w:lang w:val="fr-FR"/>
              </w:rPr>
              <w:t>eil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euil</w:t>
            </w:r>
            <w:proofErr w:type="spellEnd"/>
            <w:r>
              <w:rPr>
                <w:lang w:val="fr-FR"/>
              </w:rPr>
              <w:t>.</w:t>
            </w:r>
          </w:p>
        </w:tc>
        <w:tc>
          <w:tcPr>
            <w:tcW w:w="3402" w:type="dxa"/>
            <w:gridSpan w:val="2"/>
          </w:tcPr>
          <w:p w:rsidR="00580AF2" w:rsidRDefault="00580AF2" w:rsidP="00EC1C7B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Sensibiliser les enfants à l’écriture finale des mots se finissant par les sons |i], [e].</w:t>
            </w:r>
          </w:p>
        </w:tc>
      </w:tr>
      <w:tr w:rsidR="00580AF2" w:rsidTr="00EC1C7B">
        <w:tc>
          <w:tcPr>
            <w:tcW w:w="1742" w:type="dxa"/>
            <w:vMerge/>
          </w:tcPr>
          <w:p w:rsidR="00580AF2" w:rsidRDefault="00580AF2">
            <w:pPr>
              <w:rPr>
                <w:lang w:val="fr-FR"/>
              </w:rPr>
            </w:pPr>
          </w:p>
        </w:tc>
        <w:tc>
          <w:tcPr>
            <w:tcW w:w="1740" w:type="dxa"/>
            <w:vMerge/>
          </w:tcPr>
          <w:p w:rsidR="00580AF2" w:rsidRDefault="00580AF2">
            <w:pPr>
              <w:rPr>
                <w:lang w:val="fr-FR"/>
              </w:rPr>
            </w:pPr>
          </w:p>
        </w:tc>
        <w:tc>
          <w:tcPr>
            <w:tcW w:w="2175" w:type="dxa"/>
          </w:tcPr>
          <w:p w:rsidR="00580AF2" w:rsidRDefault="00580AF2" w:rsidP="00580AF2">
            <w:pPr>
              <w:rPr>
                <w:lang w:val="fr-FR"/>
              </w:rPr>
            </w:pPr>
            <w:r>
              <w:rPr>
                <w:lang w:val="fr-FR"/>
              </w:rPr>
              <w:t>Maîtriser et utiliser les règles des accords</w:t>
            </w:r>
          </w:p>
        </w:tc>
        <w:tc>
          <w:tcPr>
            <w:tcW w:w="1711" w:type="dxa"/>
          </w:tcPr>
          <w:p w:rsidR="00580AF2" w:rsidRDefault="00580AF2" w:rsidP="00EC1C7B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Connaître et utiliser les marques du pluriel des  noms</w:t>
            </w:r>
          </w:p>
        </w:tc>
        <w:tc>
          <w:tcPr>
            <w:tcW w:w="1734" w:type="dxa"/>
          </w:tcPr>
          <w:p w:rsidR="00580AF2" w:rsidRDefault="00580AF2" w:rsidP="00EC1C7B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Appliquer la règle de l’accord entre le verbe et son sujet</w:t>
            </w:r>
          </w:p>
        </w:tc>
        <w:tc>
          <w:tcPr>
            <w:tcW w:w="1716" w:type="dxa"/>
          </w:tcPr>
          <w:p w:rsidR="00580AF2" w:rsidRDefault="00580AF2" w:rsidP="00EC1C7B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Mémoriser et appliquer la règle de l’accord du verbe conjugué à un temps composé</w:t>
            </w:r>
          </w:p>
        </w:tc>
        <w:tc>
          <w:tcPr>
            <w:tcW w:w="1716" w:type="dxa"/>
          </w:tcPr>
          <w:p w:rsidR="00580AF2" w:rsidRDefault="00580AF2" w:rsidP="00EC1C7B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Mémoriser l’accord en genre et en nombre du groupe nominal élargi (déterminant, nom, adjectif)</w:t>
            </w:r>
          </w:p>
        </w:tc>
        <w:tc>
          <w:tcPr>
            <w:tcW w:w="1686" w:type="dxa"/>
          </w:tcPr>
          <w:p w:rsidR="00580AF2" w:rsidRDefault="00580AF2" w:rsidP="00580AF2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Utiliser et écrire sans erreur les homophones grammaticaux : ses, ces, se, ce, mes, mais, c’est, s’est, ou, où</w:t>
            </w:r>
          </w:p>
        </w:tc>
      </w:tr>
      <w:tr w:rsidR="00580AF2" w:rsidTr="008163EA">
        <w:tc>
          <w:tcPr>
            <w:tcW w:w="1742" w:type="dxa"/>
            <w:vMerge/>
          </w:tcPr>
          <w:p w:rsidR="00580AF2" w:rsidRDefault="00580AF2">
            <w:pPr>
              <w:rPr>
                <w:lang w:val="fr-FR"/>
              </w:rPr>
            </w:pPr>
          </w:p>
        </w:tc>
        <w:tc>
          <w:tcPr>
            <w:tcW w:w="1740" w:type="dxa"/>
            <w:vMerge/>
          </w:tcPr>
          <w:p w:rsidR="00580AF2" w:rsidRDefault="00580AF2">
            <w:pPr>
              <w:rPr>
                <w:lang w:val="fr-FR"/>
              </w:rPr>
            </w:pPr>
          </w:p>
        </w:tc>
        <w:tc>
          <w:tcPr>
            <w:tcW w:w="2175" w:type="dxa"/>
            <w:vMerge w:val="restart"/>
          </w:tcPr>
          <w:p w:rsidR="00580AF2" w:rsidRDefault="00580AF2">
            <w:pPr>
              <w:rPr>
                <w:lang w:val="fr-FR"/>
              </w:rPr>
            </w:pPr>
            <w:r>
              <w:rPr>
                <w:lang w:val="fr-FR"/>
              </w:rPr>
              <w:t>Orthographier correctement les formes usuelles des verbes</w:t>
            </w:r>
          </w:p>
        </w:tc>
        <w:tc>
          <w:tcPr>
            <w:tcW w:w="8563" w:type="dxa"/>
            <w:gridSpan w:val="5"/>
          </w:tcPr>
          <w:p w:rsidR="00580AF2" w:rsidRDefault="00580AF2" w:rsidP="00EC1C7B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Orthographier correctement les terminaisons des formes verbales utilisées</w:t>
            </w:r>
          </w:p>
          <w:p w:rsidR="00580AF2" w:rsidRDefault="00580AF2" w:rsidP="00EC1C7B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Orthographier correctement les formes verbales des verbes en </w:t>
            </w:r>
            <w:proofErr w:type="spellStart"/>
            <w:r>
              <w:rPr>
                <w:lang w:val="fr-FR"/>
              </w:rPr>
              <w:t>ger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guer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cer</w:t>
            </w:r>
            <w:proofErr w:type="spellEnd"/>
          </w:p>
        </w:tc>
      </w:tr>
      <w:tr w:rsidR="00580AF2" w:rsidTr="00DD4002">
        <w:tc>
          <w:tcPr>
            <w:tcW w:w="1742" w:type="dxa"/>
            <w:vMerge/>
          </w:tcPr>
          <w:p w:rsidR="00580AF2" w:rsidRDefault="00580AF2">
            <w:pPr>
              <w:rPr>
                <w:lang w:val="fr-FR"/>
              </w:rPr>
            </w:pPr>
          </w:p>
        </w:tc>
        <w:tc>
          <w:tcPr>
            <w:tcW w:w="1740" w:type="dxa"/>
            <w:vMerge/>
          </w:tcPr>
          <w:p w:rsidR="00580AF2" w:rsidRDefault="00580AF2">
            <w:pPr>
              <w:rPr>
                <w:lang w:val="fr-FR"/>
              </w:rPr>
            </w:pPr>
          </w:p>
        </w:tc>
        <w:tc>
          <w:tcPr>
            <w:tcW w:w="2175" w:type="dxa"/>
            <w:vMerge/>
          </w:tcPr>
          <w:p w:rsidR="00580AF2" w:rsidRDefault="00580AF2">
            <w:pPr>
              <w:rPr>
                <w:lang w:val="fr-FR"/>
              </w:rPr>
            </w:pPr>
          </w:p>
        </w:tc>
        <w:tc>
          <w:tcPr>
            <w:tcW w:w="1711" w:type="dxa"/>
          </w:tcPr>
          <w:p w:rsidR="00580AF2" w:rsidRDefault="00580AF2" w:rsidP="00EC1C7B">
            <w:pPr>
              <w:jc w:val="left"/>
              <w:rPr>
                <w:lang w:val="fr-FR"/>
              </w:rPr>
            </w:pPr>
          </w:p>
        </w:tc>
        <w:tc>
          <w:tcPr>
            <w:tcW w:w="1734" w:type="dxa"/>
          </w:tcPr>
          <w:p w:rsidR="00580AF2" w:rsidRDefault="00580AF2" w:rsidP="00EC1C7B">
            <w:pPr>
              <w:jc w:val="left"/>
              <w:rPr>
                <w:lang w:val="fr-FR"/>
              </w:rPr>
            </w:pPr>
          </w:p>
        </w:tc>
        <w:tc>
          <w:tcPr>
            <w:tcW w:w="1716" w:type="dxa"/>
          </w:tcPr>
          <w:p w:rsidR="00580AF2" w:rsidRDefault="00580AF2" w:rsidP="00EC1C7B">
            <w:pPr>
              <w:jc w:val="left"/>
              <w:rPr>
                <w:lang w:val="fr-FR"/>
              </w:rPr>
            </w:pPr>
          </w:p>
        </w:tc>
        <w:tc>
          <w:tcPr>
            <w:tcW w:w="3402" w:type="dxa"/>
            <w:gridSpan w:val="2"/>
          </w:tcPr>
          <w:p w:rsidR="00580AF2" w:rsidRDefault="00580AF2" w:rsidP="00EC1C7B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Différencier un verbe à l’infinitif d’un participe passé et l’orthographier ainsi correctement</w:t>
            </w:r>
          </w:p>
        </w:tc>
      </w:tr>
    </w:tbl>
    <w:p w:rsidR="007E4B03" w:rsidRPr="007E4B03" w:rsidRDefault="007E4B03">
      <w:pPr>
        <w:rPr>
          <w:lang w:val="fr-FR"/>
        </w:rPr>
      </w:pPr>
    </w:p>
    <w:sectPr w:rsidR="007E4B03" w:rsidRPr="007E4B03" w:rsidSect="007E4B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4B03"/>
    <w:rsid w:val="000416DD"/>
    <w:rsid w:val="0018555B"/>
    <w:rsid w:val="00444F53"/>
    <w:rsid w:val="0049532E"/>
    <w:rsid w:val="00580AF2"/>
    <w:rsid w:val="00594D75"/>
    <w:rsid w:val="007E4B03"/>
    <w:rsid w:val="00825961"/>
    <w:rsid w:val="008B4D43"/>
    <w:rsid w:val="00E73422"/>
    <w:rsid w:val="00EB345F"/>
    <w:rsid w:val="00EC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D75"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C1C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Bruneau</dc:creator>
  <cp:keywords/>
  <dc:description/>
  <cp:lastModifiedBy>Bruneau</cp:lastModifiedBy>
  <cp:revision>1</cp:revision>
  <dcterms:created xsi:type="dcterms:W3CDTF">2008-11-03T10:07:00Z</dcterms:created>
  <dcterms:modified xsi:type="dcterms:W3CDTF">2008-11-03T11:00:00Z</dcterms:modified>
</cp:coreProperties>
</file>