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96" w:rsidRDefault="00622996">
      <w:pPr>
        <w:pStyle w:val="Corpsdetexte"/>
        <w:rPr>
          <w:sz w:val="30"/>
        </w:rPr>
      </w:pPr>
    </w:p>
    <w:p w:rsidR="00622996" w:rsidRPr="003D4B3F" w:rsidRDefault="00622996">
      <w:pPr>
        <w:pStyle w:val="Corpsdetexte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888"/>
        <w:gridCol w:w="5890"/>
      </w:tblGrid>
      <w:tr w:rsidR="00D2553E" w:rsidTr="001D20D1">
        <w:tc>
          <w:tcPr>
            <w:tcW w:w="3888" w:type="dxa"/>
            <w:shd w:val="clear" w:color="auto" w:fill="auto"/>
          </w:tcPr>
          <w:p w:rsidR="00D2553E" w:rsidRDefault="00D2553E" w:rsidP="001D20D1">
            <w:pPr>
              <w:ind w:left="-397" w:right="17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676400" cy="847725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11" t="-21" r="-11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0" w:type="dxa"/>
            <w:shd w:val="clear" w:color="auto" w:fill="auto"/>
          </w:tcPr>
          <w:p w:rsidR="00D2553E" w:rsidRDefault="00D2553E" w:rsidP="001D20D1">
            <w:pPr>
              <w:snapToGrid w:val="0"/>
              <w:ind w:left="-397" w:right="17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D2553E" w:rsidRDefault="00D2553E" w:rsidP="001D20D1">
            <w:pPr>
              <w:ind w:left="-397" w:right="170"/>
              <w:jc w:val="right"/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Sgen-CFDT Aquitaine</w:t>
            </w:r>
          </w:p>
          <w:p w:rsidR="00D2553E" w:rsidRDefault="00D2553E" w:rsidP="001D20D1">
            <w:pPr>
              <w:ind w:left="-397" w:right="170"/>
              <w:jc w:val="right"/>
            </w:pPr>
            <w:r>
              <w:rPr>
                <w:rFonts w:ascii="Verdana" w:hAnsi="Verdana" w:cs="Calibri"/>
                <w:sz w:val="20"/>
                <w:szCs w:val="20"/>
              </w:rPr>
              <w:t>8 rue Théodore Gardère</w:t>
            </w:r>
          </w:p>
          <w:p w:rsidR="00D2553E" w:rsidRDefault="00D2553E" w:rsidP="001D20D1">
            <w:pPr>
              <w:ind w:left="-397" w:right="170"/>
              <w:jc w:val="right"/>
            </w:pPr>
            <w:r>
              <w:rPr>
                <w:rFonts w:ascii="Verdana" w:hAnsi="Verdana" w:cs="Calibri"/>
                <w:sz w:val="20"/>
                <w:szCs w:val="20"/>
              </w:rPr>
              <w:t>33080 BORDEAUX cedex</w:t>
            </w:r>
          </w:p>
          <w:p w:rsidR="00D2553E" w:rsidRDefault="00D2553E" w:rsidP="001D20D1">
            <w:pPr>
              <w:ind w:left="-397" w:right="170"/>
              <w:jc w:val="right"/>
            </w:pPr>
            <w:r>
              <w:rPr>
                <w:rFonts w:ascii="Verdana" w:hAnsi="Verdana" w:cs="Calibri"/>
                <w:sz w:val="20"/>
                <w:szCs w:val="20"/>
              </w:rPr>
              <w:t>bordeaux@sgen.cfdt.fr</w:t>
            </w:r>
          </w:p>
        </w:tc>
      </w:tr>
    </w:tbl>
    <w:p w:rsidR="00622996" w:rsidRDefault="00622996">
      <w:pPr>
        <w:pStyle w:val="Corpsdetexte"/>
        <w:rPr>
          <w:sz w:val="20"/>
        </w:rPr>
      </w:pPr>
    </w:p>
    <w:p w:rsidR="008C6A6E" w:rsidRDefault="008C6A6E" w:rsidP="00D2553E">
      <w:pPr>
        <w:pStyle w:val="Titre"/>
        <w:ind w:left="0"/>
        <w:jc w:val="right"/>
        <w:rPr>
          <w:sz w:val="26"/>
          <w:szCs w:val="26"/>
        </w:rPr>
      </w:pPr>
      <w:r w:rsidRPr="00F563FA">
        <w:rPr>
          <w:sz w:val="25"/>
          <w:szCs w:val="25"/>
          <w:highlight w:val="yellow"/>
        </w:rPr>
        <w:t>A l’attention des députés et sénateurs</w:t>
      </w:r>
    </w:p>
    <w:p w:rsidR="00D2553E" w:rsidRPr="003D4B3F" w:rsidRDefault="00D2553E" w:rsidP="00D2553E">
      <w:pPr>
        <w:pStyle w:val="Titre"/>
        <w:ind w:left="0"/>
        <w:jc w:val="right"/>
        <w:rPr>
          <w:sz w:val="26"/>
          <w:szCs w:val="26"/>
        </w:rPr>
      </w:pPr>
      <w:r w:rsidRPr="00CE2C47">
        <w:rPr>
          <w:sz w:val="26"/>
          <w:szCs w:val="26"/>
          <w:highlight w:val="yellow"/>
        </w:rPr>
        <w:t>Bordeaux</w:t>
      </w:r>
      <w:r>
        <w:rPr>
          <w:sz w:val="26"/>
          <w:szCs w:val="26"/>
        </w:rPr>
        <w:t xml:space="preserve"> le 13 mars </w:t>
      </w:r>
      <w:r w:rsidRPr="003D4B3F">
        <w:rPr>
          <w:sz w:val="26"/>
          <w:szCs w:val="26"/>
        </w:rPr>
        <w:t>2023.</w:t>
      </w:r>
    </w:p>
    <w:p w:rsidR="00622996" w:rsidRDefault="00632C34" w:rsidP="00D07F2A">
      <w:pPr>
        <w:pStyle w:val="NormalWeb"/>
        <w:shd w:val="clear" w:color="auto" w:fill="FFFFFF"/>
        <w:spacing w:before="0" w:beforeAutospacing="0" w:after="0" w:afterAutospacing="0"/>
        <w:rPr>
          <w:rFonts w:eastAsia="Gotham Narrow Bold"/>
          <w:b/>
          <w:bCs/>
          <w:lang w:eastAsia="en-US"/>
        </w:rPr>
      </w:pPr>
      <w:r w:rsidRPr="00632C34">
        <w:rPr>
          <w:rFonts w:eastAsia="Gotham Narrow Bold"/>
          <w:sz w:val="10"/>
          <w:szCs w:val="10"/>
          <w:lang w:eastAsia="en-US"/>
        </w:rPr>
        <w:br/>
      </w:r>
      <w:r w:rsidR="00D07F2A">
        <w:rPr>
          <w:rFonts w:eastAsia="Gotham Narrow Bold"/>
          <w:b/>
          <w:bCs/>
          <w:lang w:eastAsia="en-US"/>
        </w:rPr>
        <w:br/>
      </w:r>
      <w:r w:rsidR="003D4B3F" w:rsidRPr="00632C34">
        <w:rPr>
          <w:rFonts w:eastAsia="Gotham Narrow Bold"/>
          <w:b/>
          <w:bCs/>
          <w:lang w:eastAsia="en-US"/>
        </w:rPr>
        <w:t xml:space="preserve">Objet : </w:t>
      </w:r>
      <w:r w:rsidRPr="00632C34">
        <w:rPr>
          <w:rFonts w:eastAsia="Gotham Narrow Bold"/>
          <w:b/>
          <w:bCs/>
          <w:lang w:eastAsia="en-US"/>
        </w:rPr>
        <w:t>Projet de loi de financement rectificative de la sécurité sociale sur les retraites</w:t>
      </w:r>
    </w:p>
    <w:p w:rsidR="008C6A6E" w:rsidRPr="00632C34" w:rsidRDefault="008C6A6E" w:rsidP="00D07F2A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632C34" w:rsidRPr="00632C34" w:rsidRDefault="00632C34" w:rsidP="00D07F2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Gotham Narrow Bold"/>
          <w:lang w:eastAsia="en-US"/>
        </w:rPr>
      </w:pPr>
      <w:r w:rsidRPr="00632C34">
        <w:rPr>
          <w:rFonts w:eastAsia="Gotham Narrow Bold"/>
          <w:sz w:val="10"/>
          <w:szCs w:val="10"/>
          <w:lang w:eastAsia="en-US"/>
        </w:rPr>
        <w:br/>
      </w:r>
      <w:r w:rsidR="00D07F2A" w:rsidRPr="00F563FA">
        <w:rPr>
          <w:rFonts w:eastAsia="Gotham Narrow Bold"/>
          <w:highlight w:val="yellow"/>
          <w:lang w:eastAsia="en-US"/>
        </w:rPr>
        <w:t>Madame, Monsieur le député</w:t>
      </w:r>
      <w:r w:rsidR="00D07F2A" w:rsidRPr="00F563FA">
        <w:rPr>
          <w:rFonts w:eastAsia="Gotham Narrow Bold"/>
          <w:highlight w:val="yellow"/>
          <w:lang w:eastAsia="en-US"/>
        </w:rPr>
        <w:br/>
        <w:t>Madame, Monsieur le sénateur</w:t>
      </w:r>
      <w:r w:rsidR="00D07F2A">
        <w:rPr>
          <w:rFonts w:eastAsia="Gotham Narrow Bold"/>
          <w:lang w:eastAsia="en-US"/>
        </w:rPr>
        <w:br/>
      </w:r>
      <w:r w:rsidR="00D07F2A">
        <w:rPr>
          <w:rFonts w:eastAsia="Gotham Narrow Bold"/>
          <w:lang w:eastAsia="en-US"/>
        </w:rPr>
        <w:br/>
      </w:r>
      <w:r w:rsidRPr="00632C34">
        <w:rPr>
          <w:rFonts w:eastAsia="Gotham Narrow Bold"/>
          <w:lang w:eastAsia="en-US"/>
        </w:rPr>
        <w:t>Le débat parlementaire sur le projet de loi sur les retraites arrive maintenant à une phase cruciale pour l’avenir de notre pays et de notre démocratie.</w:t>
      </w:r>
    </w:p>
    <w:p w:rsidR="00632C34" w:rsidRPr="00632C34" w:rsidRDefault="00632C34" w:rsidP="00632C34">
      <w:pPr>
        <w:pStyle w:val="NormalWeb"/>
        <w:shd w:val="clear" w:color="auto" w:fill="FFFFFF"/>
        <w:suppressAutoHyphens/>
        <w:spacing w:before="0" w:beforeAutospacing="0" w:after="0" w:afterAutospacing="0" w:line="264" w:lineRule="auto"/>
        <w:ind w:right="-34"/>
        <w:jc w:val="both"/>
        <w:rPr>
          <w:rFonts w:eastAsia="Gotham Narrow Bold"/>
          <w:lang w:eastAsia="en-US"/>
        </w:rPr>
      </w:pPr>
      <w:r w:rsidRPr="00632C34">
        <w:rPr>
          <w:rFonts w:eastAsia="Gotham Narrow Bold"/>
          <w:lang w:eastAsia="en-US"/>
        </w:rPr>
        <w:t>La commission mixte paritaire se tiendra le 15 mars prochain et ses conclusions seront présentées le jour même à l’Assemblée nationale et au Sénat dès le lendemain.</w:t>
      </w:r>
    </w:p>
    <w:p w:rsidR="00632C34" w:rsidRPr="00632C34" w:rsidRDefault="00632C34" w:rsidP="00632C34">
      <w:pPr>
        <w:widowControl/>
        <w:adjustRightInd w:val="0"/>
        <w:spacing w:after="120" w:line="264" w:lineRule="auto"/>
        <w:ind w:right="-35"/>
        <w:jc w:val="both"/>
        <w:rPr>
          <w:rFonts w:eastAsia="Gotham Narrow Bold"/>
          <w:sz w:val="24"/>
          <w:szCs w:val="24"/>
        </w:rPr>
      </w:pPr>
      <w:r w:rsidRPr="00632C34">
        <w:rPr>
          <w:rFonts w:eastAsia="Gotham Narrow Bold"/>
          <w:sz w:val="14"/>
          <w:szCs w:val="14"/>
        </w:rPr>
        <w:br/>
      </w:r>
      <w:r w:rsidRPr="00632C34">
        <w:rPr>
          <w:rFonts w:eastAsia="Gotham Narrow Bold"/>
          <w:sz w:val="24"/>
          <w:szCs w:val="24"/>
        </w:rPr>
        <w:t>Depuis le 19 janvier, le rejet de l’immense majorité des citoyens sur le report de l’âge légal de la retraite au-delà de 64 ans est de plus en plus massif.</w:t>
      </w:r>
    </w:p>
    <w:p w:rsidR="008C6A6E" w:rsidRDefault="008C6A6E" w:rsidP="00632C34">
      <w:pPr>
        <w:widowControl/>
        <w:adjustRightInd w:val="0"/>
        <w:spacing w:line="264" w:lineRule="auto"/>
        <w:ind w:right="-34"/>
        <w:jc w:val="both"/>
        <w:rPr>
          <w:rFonts w:eastAsia="Gotham Narrow Bold"/>
          <w:sz w:val="24"/>
          <w:szCs w:val="24"/>
        </w:rPr>
      </w:pPr>
      <w:r w:rsidRPr="00632C34">
        <w:rPr>
          <w:rFonts w:eastAsia="Gotham Narrow Bold"/>
          <w:sz w:val="24"/>
          <w:szCs w:val="24"/>
        </w:rPr>
        <w:t xml:space="preserve">A ce titre la répartition géographique du mouvement est frappante : </w:t>
      </w:r>
      <w:r w:rsidRPr="00632C34">
        <w:rPr>
          <w:rFonts w:eastAsia="Gotham Narrow Bold"/>
          <w:b/>
          <w:bCs/>
          <w:sz w:val="24"/>
          <w:szCs w:val="24"/>
        </w:rPr>
        <w:t>il n’est plus un endroit de France où les travailleuses et les travailleurs ne se sont pas mobilisés</w:t>
      </w:r>
      <w:r w:rsidRPr="00632C34">
        <w:rPr>
          <w:rFonts w:eastAsia="Gotham Narrow Bold"/>
          <w:sz w:val="24"/>
          <w:szCs w:val="24"/>
        </w:rPr>
        <w:t xml:space="preserve"> contre cette réforme injuste</w:t>
      </w:r>
      <w:r>
        <w:rPr>
          <w:rFonts w:eastAsia="Gotham Narrow Bold"/>
          <w:sz w:val="24"/>
          <w:szCs w:val="24"/>
        </w:rPr>
        <w:t xml:space="preserve"> </w:t>
      </w:r>
      <w:r w:rsidRPr="00632C34">
        <w:rPr>
          <w:rFonts w:eastAsia="Gotham Narrow Bold"/>
          <w:sz w:val="24"/>
          <w:szCs w:val="24"/>
        </w:rPr>
        <w:t>et brutale</w:t>
      </w:r>
    </w:p>
    <w:p w:rsidR="008C6A6E" w:rsidRDefault="008C6A6E" w:rsidP="00632C34">
      <w:pPr>
        <w:widowControl/>
        <w:adjustRightInd w:val="0"/>
        <w:spacing w:line="264" w:lineRule="auto"/>
        <w:ind w:right="-34"/>
        <w:jc w:val="both"/>
        <w:rPr>
          <w:rFonts w:eastAsia="Gotham Narrow Bold"/>
          <w:sz w:val="24"/>
          <w:szCs w:val="24"/>
        </w:rPr>
      </w:pPr>
    </w:p>
    <w:p w:rsidR="00632C34" w:rsidRDefault="008C6A6E" w:rsidP="008C6A6E">
      <w:pPr>
        <w:widowControl/>
        <w:adjustRightInd w:val="0"/>
        <w:spacing w:line="264" w:lineRule="auto"/>
        <w:ind w:right="-34"/>
        <w:jc w:val="both"/>
        <w:rPr>
          <w:rFonts w:eastAsia="Gotham Narrow Bold"/>
          <w:b/>
          <w:sz w:val="24"/>
          <w:szCs w:val="24"/>
        </w:rPr>
      </w:pPr>
      <w:r>
        <w:rPr>
          <w:rFonts w:eastAsia="Gotham Narrow Bold"/>
          <w:sz w:val="24"/>
          <w:szCs w:val="24"/>
        </w:rPr>
        <w:t xml:space="preserve">Les citoyennes et les citoyens de votre circonscription se sont mobilisés, </w:t>
      </w:r>
      <w:r w:rsidRPr="008C6A6E">
        <w:rPr>
          <w:rFonts w:eastAsia="Gotham Narrow Bold"/>
          <w:b/>
          <w:sz w:val="24"/>
          <w:szCs w:val="24"/>
        </w:rPr>
        <w:t>é</w:t>
      </w:r>
      <w:r w:rsidR="00632C34" w:rsidRPr="008C6A6E">
        <w:rPr>
          <w:rFonts w:eastAsia="Gotham Narrow Bold"/>
          <w:b/>
          <w:bCs/>
          <w:sz w:val="24"/>
          <w:szCs w:val="24"/>
        </w:rPr>
        <w:t>coutez</w:t>
      </w:r>
      <w:r>
        <w:rPr>
          <w:rFonts w:eastAsia="Gotham Narrow Bold"/>
          <w:b/>
          <w:bCs/>
          <w:sz w:val="24"/>
          <w:szCs w:val="24"/>
        </w:rPr>
        <w:t>-</w:t>
      </w:r>
      <w:r w:rsidR="00632C34" w:rsidRPr="008C6A6E">
        <w:rPr>
          <w:rFonts w:eastAsia="Gotham Narrow Bold"/>
          <w:b/>
          <w:bCs/>
          <w:sz w:val="24"/>
          <w:szCs w:val="24"/>
        </w:rPr>
        <w:t xml:space="preserve">les, car vous devrez à un moment ou un autre leur rendre des comptes ! </w:t>
      </w:r>
    </w:p>
    <w:p w:rsidR="008C6A6E" w:rsidRPr="008C6A6E" w:rsidRDefault="008C6A6E" w:rsidP="008C6A6E">
      <w:pPr>
        <w:widowControl/>
        <w:adjustRightInd w:val="0"/>
        <w:spacing w:line="264" w:lineRule="auto"/>
        <w:ind w:right="-34"/>
        <w:jc w:val="both"/>
        <w:rPr>
          <w:rFonts w:eastAsia="Gotham Narrow Bold"/>
          <w:b/>
          <w:sz w:val="24"/>
          <w:szCs w:val="24"/>
        </w:rPr>
      </w:pPr>
    </w:p>
    <w:p w:rsidR="008C6A6E" w:rsidRDefault="00632C34" w:rsidP="00632C34">
      <w:pPr>
        <w:widowControl/>
        <w:adjustRightInd w:val="0"/>
        <w:spacing w:line="264" w:lineRule="auto"/>
        <w:ind w:right="-34"/>
        <w:jc w:val="both"/>
        <w:rPr>
          <w:rFonts w:eastAsia="Gotham Narrow Bold"/>
          <w:sz w:val="24"/>
          <w:szCs w:val="24"/>
        </w:rPr>
      </w:pPr>
      <w:r w:rsidRPr="00632C34">
        <w:rPr>
          <w:rFonts w:eastAsia="Gotham Narrow Bold"/>
          <w:sz w:val="24"/>
          <w:szCs w:val="24"/>
        </w:rPr>
        <w:t>Le monde du travail rejette massivement cette réforme</w:t>
      </w:r>
      <w:r w:rsidR="00124859">
        <w:rPr>
          <w:rFonts w:eastAsia="Gotham Narrow Bold"/>
          <w:sz w:val="24"/>
          <w:szCs w:val="24"/>
        </w:rPr>
        <w:t xml:space="preserve">, </w:t>
      </w:r>
      <w:r w:rsidRPr="00632C34">
        <w:rPr>
          <w:rFonts w:eastAsia="Gotham Narrow Bold"/>
          <w:sz w:val="24"/>
          <w:szCs w:val="24"/>
        </w:rPr>
        <w:t xml:space="preserve">en particulier le prolongement de l'âge légal de départ : vous ne pouvez l’ignorer. Les travailleuses et les travailleurs </w:t>
      </w:r>
      <w:r w:rsidR="0014169C">
        <w:rPr>
          <w:rFonts w:eastAsia="Gotham Narrow Bold"/>
          <w:sz w:val="24"/>
          <w:szCs w:val="24"/>
        </w:rPr>
        <w:t xml:space="preserve">veulent </w:t>
      </w:r>
      <w:r w:rsidRPr="00632C34">
        <w:rPr>
          <w:rFonts w:eastAsia="Gotham Narrow Bold"/>
          <w:sz w:val="24"/>
          <w:szCs w:val="24"/>
        </w:rPr>
        <w:t>vous faire entendre leur voix</w:t>
      </w:r>
      <w:r w:rsidR="0014169C">
        <w:rPr>
          <w:rFonts w:eastAsia="Gotham Narrow Bold"/>
          <w:sz w:val="24"/>
          <w:szCs w:val="24"/>
        </w:rPr>
        <w:t xml:space="preserve"> et </w:t>
      </w:r>
      <w:r w:rsidRPr="00632C34">
        <w:rPr>
          <w:rFonts w:eastAsia="Gotham Narrow Bold"/>
          <w:sz w:val="24"/>
          <w:szCs w:val="24"/>
        </w:rPr>
        <w:t>doivent être considérés et respectés sous peine de déclencher une crise sociale et démocratique majeure !</w:t>
      </w:r>
    </w:p>
    <w:p w:rsidR="008C6A6E" w:rsidRDefault="008C6A6E" w:rsidP="00632C34">
      <w:pPr>
        <w:widowControl/>
        <w:adjustRightInd w:val="0"/>
        <w:spacing w:line="264" w:lineRule="auto"/>
        <w:ind w:right="-34"/>
        <w:jc w:val="both"/>
        <w:rPr>
          <w:rFonts w:eastAsia="Gotham Narrow Bold"/>
          <w:sz w:val="24"/>
          <w:szCs w:val="24"/>
        </w:rPr>
      </w:pPr>
    </w:p>
    <w:p w:rsidR="008C6A6E" w:rsidRDefault="00632C34" w:rsidP="00632C34">
      <w:pPr>
        <w:widowControl/>
        <w:adjustRightInd w:val="0"/>
        <w:spacing w:line="264" w:lineRule="auto"/>
        <w:ind w:right="-34"/>
        <w:jc w:val="both"/>
        <w:rPr>
          <w:rFonts w:eastAsia="Gotham Narrow Bold"/>
        </w:rPr>
      </w:pPr>
      <w:r w:rsidRPr="00632C34">
        <w:rPr>
          <w:rFonts w:eastAsia="Gotham Narrow Bold"/>
          <w:sz w:val="24"/>
          <w:szCs w:val="24"/>
        </w:rPr>
        <w:t>Les réponses de la Première Ministre et du Président de la République à cet immense mouvement d’expression démocratique sont aujourd’hui d’un mépris total à l’ensemble du monde du travail.</w:t>
      </w:r>
      <w:r w:rsidR="008C6A6E" w:rsidRPr="008C6A6E">
        <w:rPr>
          <w:rFonts w:eastAsia="Gotham Narrow Bold"/>
        </w:rPr>
        <w:t xml:space="preserve"> </w:t>
      </w:r>
    </w:p>
    <w:p w:rsidR="008C6A6E" w:rsidRDefault="008C6A6E" w:rsidP="00632C34">
      <w:pPr>
        <w:widowControl/>
        <w:adjustRightInd w:val="0"/>
        <w:spacing w:line="264" w:lineRule="auto"/>
        <w:ind w:right="-34"/>
        <w:jc w:val="both"/>
        <w:rPr>
          <w:rFonts w:eastAsia="Gotham Narrow Bold"/>
        </w:rPr>
      </w:pPr>
    </w:p>
    <w:p w:rsidR="00632C34" w:rsidRDefault="008C6A6E" w:rsidP="00632C34">
      <w:pPr>
        <w:widowControl/>
        <w:adjustRightInd w:val="0"/>
        <w:spacing w:line="264" w:lineRule="auto"/>
        <w:ind w:right="-34"/>
        <w:jc w:val="both"/>
        <w:rPr>
          <w:rFonts w:eastAsia="Gotham Narrow Bold"/>
          <w:sz w:val="24"/>
          <w:szCs w:val="24"/>
        </w:rPr>
      </w:pPr>
      <w:r w:rsidRPr="00632C34">
        <w:rPr>
          <w:rFonts w:eastAsia="Gotham Narrow Bold"/>
        </w:rPr>
        <w:t xml:space="preserve">Au lendemain </w:t>
      </w:r>
      <w:r w:rsidRPr="00632C34">
        <w:rPr>
          <w:rFonts w:eastAsia="Gotham Narrow Bold"/>
          <w:kern w:val="3"/>
          <w:lang w:bidi="hi-IN"/>
        </w:rPr>
        <w:t>des élections législatives, le Président de la République avait annoncé qu’il fallait « apprendre à gouverner et légiférer différemment ».</w:t>
      </w:r>
    </w:p>
    <w:p w:rsidR="008C6A6E" w:rsidRPr="00632C34" w:rsidRDefault="008C6A6E" w:rsidP="00632C34">
      <w:pPr>
        <w:widowControl/>
        <w:adjustRightInd w:val="0"/>
        <w:spacing w:line="264" w:lineRule="auto"/>
        <w:ind w:right="-34"/>
        <w:jc w:val="both"/>
        <w:rPr>
          <w:rFonts w:eastAsia="Gotham Narrow Bold"/>
          <w:sz w:val="24"/>
          <w:szCs w:val="24"/>
        </w:rPr>
      </w:pPr>
    </w:p>
    <w:p w:rsidR="00632C34" w:rsidRPr="00632C34" w:rsidRDefault="00632C34" w:rsidP="00632C34">
      <w:pPr>
        <w:widowControl/>
        <w:adjustRightInd w:val="0"/>
        <w:spacing w:line="264" w:lineRule="auto"/>
        <w:ind w:right="-34"/>
        <w:jc w:val="both"/>
        <w:rPr>
          <w:rFonts w:eastAsia="Gotham Narrow Bold"/>
          <w:b/>
          <w:bCs/>
          <w:sz w:val="24"/>
          <w:szCs w:val="24"/>
        </w:rPr>
      </w:pPr>
      <w:r w:rsidRPr="00F563FA">
        <w:rPr>
          <w:rFonts w:eastAsia="Gotham Narrow Bold"/>
          <w:b/>
          <w:bCs/>
          <w:sz w:val="24"/>
          <w:szCs w:val="24"/>
          <w:highlight w:val="yellow"/>
        </w:rPr>
        <w:t>M</w:t>
      </w:r>
      <w:r w:rsidR="005A1993" w:rsidRPr="00F563FA">
        <w:rPr>
          <w:rFonts w:eastAsia="Gotham Narrow Bold"/>
          <w:b/>
          <w:bCs/>
          <w:sz w:val="24"/>
          <w:szCs w:val="24"/>
          <w:highlight w:val="yellow"/>
        </w:rPr>
        <w:t xml:space="preserve">adame </w:t>
      </w:r>
      <w:r w:rsidR="008C6A6E" w:rsidRPr="00F563FA">
        <w:rPr>
          <w:rFonts w:eastAsia="Gotham Narrow Bold"/>
          <w:b/>
          <w:bCs/>
          <w:sz w:val="24"/>
          <w:szCs w:val="24"/>
          <w:highlight w:val="yellow"/>
        </w:rPr>
        <w:t xml:space="preserve">/ Monsieur </w:t>
      </w:r>
      <w:r w:rsidR="005A1993" w:rsidRPr="00F563FA">
        <w:rPr>
          <w:rFonts w:eastAsia="Gotham Narrow Bold"/>
          <w:b/>
          <w:bCs/>
          <w:sz w:val="24"/>
          <w:szCs w:val="24"/>
          <w:highlight w:val="yellow"/>
        </w:rPr>
        <w:t>la députée</w:t>
      </w:r>
      <w:r w:rsidR="008C6A6E" w:rsidRPr="00F563FA">
        <w:rPr>
          <w:rFonts w:eastAsia="Gotham Narrow Bold"/>
          <w:b/>
          <w:bCs/>
          <w:sz w:val="24"/>
          <w:szCs w:val="24"/>
          <w:highlight w:val="yellow"/>
        </w:rPr>
        <w:t>/sénateur</w:t>
      </w:r>
      <w:r w:rsidR="008C6A6E">
        <w:rPr>
          <w:rFonts w:eastAsia="Gotham Narrow Bold"/>
          <w:b/>
          <w:bCs/>
          <w:sz w:val="24"/>
          <w:szCs w:val="24"/>
        </w:rPr>
        <w:t xml:space="preserve">, </w:t>
      </w:r>
      <w:r w:rsidRPr="00632C34">
        <w:rPr>
          <w:rFonts w:eastAsia="Gotham Narrow Bold"/>
          <w:b/>
          <w:bCs/>
          <w:sz w:val="24"/>
          <w:szCs w:val="24"/>
        </w:rPr>
        <w:t>nous en appelons à votre</w:t>
      </w:r>
      <w:r w:rsidR="008C6A6E">
        <w:rPr>
          <w:rFonts w:eastAsia="Gotham Narrow Bold"/>
          <w:b/>
          <w:bCs/>
          <w:sz w:val="24"/>
          <w:szCs w:val="24"/>
        </w:rPr>
        <w:t xml:space="preserve"> sens des responsabilités d’élu.e </w:t>
      </w:r>
      <w:r w:rsidRPr="00632C34">
        <w:rPr>
          <w:rFonts w:eastAsia="Gotham Narrow Bold"/>
          <w:b/>
          <w:bCs/>
          <w:sz w:val="24"/>
          <w:szCs w:val="24"/>
        </w:rPr>
        <w:t>de la nation et des territoires en votant contre cette réforme et en exigeant que le gouvernement ouvre une véritable concertation sociale en partant des réalités du travail de nos concitoyens.</w:t>
      </w:r>
      <w:r w:rsidR="008C6A6E">
        <w:rPr>
          <w:rFonts w:eastAsia="Gotham Narrow Bold"/>
          <w:b/>
          <w:bCs/>
          <w:sz w:val="24"/>
          <w:szCs w:val="24"/>
        </w:rPr>
        <w:t xml:space="preserve"> </w:t>
      </w:r>
      <w:r w:rsidRPr="00632C34">
        <w:rPr>
          <w:rFonts w:eastAsia="Gotham Narrow Bold"/>
          <w:b/>
          <w:bCs/>
          <w:sz w:val="24"/>
          <w:szCs w:val="24"/>
        </w:rPr>
        <w:t>Tout autre vote ne sera qu’un message de mépris et d’humiliation.</w:t>
      </w:r>
    </w:p>
    <w:p w:rsidR="008C6A6E" w:rsidRPr="00632C34" w:rsidRDefault="008C6A6E" w:rsidP="00632C34">
      <w:pPr>
        <w:pStyle w:val="NormalWeb"/>
        <w:shd w:val="clear" w:color="auto" w:fill="FFFFFF"/>
        <w:suppressAutoHyphens/>
        <w:spacing w:before="0" w:beforeAutospacing="0" w:after="0" w:afterAutospacing="0" w:line="264" w:lineRule="auto"/>
        <w:ind w:right="107"/>
        <w:jc w:val="both"/>
        <w:rPr>
          <w:rFonts w:eastAsia="Gotham Narrow Bold"/>
          <w:kern w:val="3"/>
          <w:lang w:eastAsia="en-US" w:bidi="hi-IN"/>
        </w:rPr>
      </w:pPr>
    </w:p>
    <w:p w:rsidR="00632C34" w:rsidRPr="008C6A6E" w:rsidRDefault="00632C34" w:rsidP="00632C34">
      <w:pPr>
        <w:pStyle w:val="NormalWeb"/>
        <w:shd w:val="clear" w:color="auto" w:fill="FFFFFF"/>
        <w:suppressAutoHyphens/>
        <w:spacing w:before="0" w:beforeAutospacing="0" w:after="0" w:afterAutospacing="0" w:line="264" w:lineRule="auto"/>
        <w:ind w:right="-35"/>
        <w:jc w:val="both"/>
        <w:rPr>
          <w:rFonts w:eastAsia="Gotham Narrow Bold"/>
          <w:kern w:val="3"/>
          <w:sz w:val="22"/>
          <w:szCs w:val="22"/>
          <w:lang w:eastAsia="en-US" w:bidi="hi-IN"/>
        </w:rPr>
      </w:pPr>
      <w:r w:rsidRPr="00632C34">
        <w:rPr>
          <w:rFonts w:eastAsia="Gotham Narrow Bold"/>
          <w:kern w:val="3"/>
          <w:lang w:eastAsia="en-US" w:bidi="hi-IN"/>
        </w:rPr>
        <w:t xml:space="preserve">Vous avez entre vos mains l’avenir du fonctionnement démocratique de notre pays et le moyen de prévenir </w:t>
      </w:r>
      <w:r w:rsidRPr="008C6A6E">
        <w:rPr>
          <w:rFonts w:eastAsia="Gotham Narrow Bold"/>
          <w:kern w:val="3"/>
          <w:sz w:val="22"/>
          <w:szCs w:val="22"/>
          <w:lang w:eastAsia="en-US" w:bidi="hi-IN"/>
        </w:rPr>
        <w:t>le risque majeur du recours au vote d’extrême droite aux prochaines échéances électorales.</w:t>
      </w:r>
    </w:p>
    <w:p w:rsidR="00632C34" w:rsidRDefault="00632C34" w:rsidP="008C6A6E">
      <w:pPr>
        <w:pStyle w:val="NormalWeb"/>
        <w:shd w:val="clear" w:color="auto" w:fill="FFFFFF"/>
        <w:spacing w:before="0" w:beforeAutospacing="0" w:after="0" w:afterAutospacing="0"/>
        <w:rPr>
          <w:rFonts w:ascii="Gotham Narrow" w:eastAsia="Gotham Narrow Bold" w:hAnsi="Gotham Narrow" w:cs="GothamNarrow-Bold"/>
          <w:b/>
          <w:bCs/>
          <w:sz w:val="22"/>
          <w:szCs w:val="22"/>
          <w:lang w:eastAsia="en-US"/>
        </w:rPr>
      </w:pPr>
    </w:p>
    <w:p w:rsidR="00CE2C47" w:rsidRPr="00CE2C47" w:rsidRDefault="00CE2C47" w:rsidP="008C6A6E">
      <w:pPr>
        <w:pStyle w:val="NormalWeb"/>
        <w:shd w:val="clear" w:color="auto" w:fill="FFFFFF"/>
        <w:spacing w:before="0" w:beforeAutospacing="0" w:after="0" w:afterAutospacing="0"/>
        <w:rPr>
          <w:rFonts w:ascii="Gotham Narrow" w:eastAsia="Gotham Narrow Bold" w:hAnsi="Gotham Narrow" w:cs="GothamNarrow-Bold"/>
          <w:b/>
          <w:bCs/>
          <w:sz w:val="22"/>
          <w:szCs w:val="22"/>
          <w:highlight w:val="yellow"/>
          <w:lang w:eastAsia="en-US"/>
        </w:rPr>
      </w:pPr>
      <w:r w:rsidRPr="00CE2C47">
        <w:rPr>
          <w:rFonts w:ascii="Gotham Narrow" w:eastAsia="Gotham Narrow Bold" w:hAnsi="Gotham Narrow" w:cs="GothamNarrow-Bold"/>
          <w:b/>
          <w:bCs/>
          <w:sz w:val="22"/>
          <w:szCs w:val="22"/>
          <w:highlight w:val="yellow"/>
          <w:lang w:eastAsia="en-US"/>
        </w:rPr>
        <w:t>Nom et prénom</w:t>
      </w:r>
    </w:p>
    <w:p w:rsidR="00CE2C47" w:rsidRPr="00CE2C47" w:rsidRDefault="00CE2C47" w:rsidP="008C6A6E">
      <w:pPr>
        <w:pStyle w:val="NormalWeb"/>
        <w:shd w:val="clear" w:color="auto" w:fill="FFFFFF"/>
        <w:spacing w:before="0" w:beforeAutospacing="0" w:after="0" w:afterAutospacing="0"/>
        <w:rPr>
          <w:rFonts w:ascii="Gotham Narrow" w:eastAsia="Gotham Narrow Bold" w:hAnsi="Gotham Narrow" w:cs="GothamNarrow-Bold"/>
          <w:b/>
          <w:bCs/>
          <w:sz w:val="22"/>
          <w:szCs w:val="22"/>
          <w:highlight w:val="yellow"/>
          <w:lang w:eastAsia="en-US"/>
        </w:rPr>
      </w:pPr>
      <w:r w:rsidRPr="00CE2C47">
        <w:rPr>
          <w:rFonts w:ascii="Gotham Narrow" w:eastAsia="Gotham Narrow Bold" w:hAnsi="Gotham Narrow" w:cs="GothamNarrow-Bold"/>
          <w:b/>
          <w:bCs/>
          <w:sz w:val="22"/>
          <w:szCs w:val="22"/>
          <w:highlight w:val="yellow"/>
          <w:lang w:eastAsia="en-US"/>
        </w:rPr>
        <w:t>Profession</w:t>
      </w:r>
      <w:r w:rsidRPr="00CE2C47">
        <w:rPr>
          <w:rFonts w:ascii="Gotham Narrow" w:eastAsia="Gotham Narrow Bold" w:hAnsi="Gotham Narrow" w:cs="GothamNarrow-Bold" w:hint="eastAsia"/>
          <w:b/>
          <w:bCs/>
          <w:sz w:val="22"/>
          <w:szCs w:val="22"/>
          <w:highlight w:val="yellow"/>
          <w:lang w:eastAsia="en-US"/>
        </w:rPr>
        <w:t> </w:t>
      </w:r>
      <w:r w:rsidRPr="00CE2C47">
        <w:rPr>
          <w:rFonts w:ascii="Gotham Narrow" w:eastAsia="Gotham Narrow Bold" w:hAnsi="Gotham Narrow" w:cs="GothamNarrow-Bold"/>
          <w:b/>
          <w:bCs/>
          <w:sz w:val="22"/>
          <w:szCs w:val="22"/>
          <w:highlight w:val="yellow"/>
          <w:lang w:eastAsia="en-US"/>
        </w:rPr>
        <w:t>? etablissement</w:t>
      </w:r>
      <w:r w:rsidRPr="00CE2C47">
        <w:rPr>
          <w:rFonts w:ascii="Gotham Narrow" w:eastAsia="Gotham Narrow Bold" w:hAnsi="Gotham Narrow" w:cs="GothamNarrow-Bold" w:hint="eastAsia"/>
          <w:b/>
          <w:bCs/>
          <w:sz w:val="22"/>
          <w:szCs w:val="22"/>
          <w:highlight w:val="yellow"/>
          <w:lang w:eastAsia="en-US"/>
        </w:rPr>
        <w:t> </w:t>
      </w:r>
      <w:r w:rsidRPr="00CE2C47">
        <w:rPr>
          <w:rFonts w:ascii="Gotham Narrow" w:eastAsia="Gotham Narrow Bold" w:hAnsi="Gotham Narrow" w:cs="GothamNarrow-Bold"/>
          <w:b/>
          <w:bCs/>
          <w:sz w:val="22"/>
          <w:szCs w:val="22"/>
          <w:highlight w:val="yellow"/>
          <w:lang w:eastAsia="en-US"/>
        </w:rPr>
        <w:t>?</w:t>
      </w:r>
    </w:p>
    <w:p w:rsidR="00CE2C47" w:rsidRPr="008C6A6E" w:rsidRDefault="00CE2C47" w:rsidP="008C6A6E">
      <w:pPr>
        <w:pStyle w:val="NormalWeb"/>
        <w:shd w:val="clear" w:color="auto" w:fill="FFFFFF"/>
        <w:spacing w:before="0" w:beforeAutospacing="0" w:after="0" w:afterAutospacing="0"/>
        <w:rPr>
          <w:rFonts w:ascii="Gotham Narrow" w:eastAsia="Gotham Narrow Bold" w:hAnsi="Gotham Narrow" w:cs="GothamNarrow-Bold"/>
          <w:b/>
          <w:bCs/>
          <w:sz w:val="22"/>
          <w:szCs w:val="22"/>
          <w:lang w:eastAsia="en-US"/>
        </w:rPr>
      </w:pPr>
      <w:r w:rsidRPr="00CE2C47">
        <w:rPr>
          <w:rFonts w:ascii="Gotham Narrow" w:eastAsia="Gotham Narrow Bold" w:hAnsi="Gotham Narrow" w:cs="GothamNarrow-Bold"/>
          <w:b/>
          <w:bCs/>
          <w:sz w:val="22"/>
          <w:szCs w:val="22"/>
          <w:highlight w:val="yellow"/>
          <w:lang w:eastAsia="en-US"/>
        </w:rPr>
        <w:t>Signature</w:t>
      </w:r>
    </w:p>
    <w:sectPr w:rsidR="00CE2C47" w:rsidRPr="008C6A6E" w:rsidSect="008C6A6E">
      <w:footerReference w:type="default" r:id="rId7"/>
      <w:type w:val="continuous"/>
      <w:pgSz w:w="11910" w:h="16850"/>
      <w:pgMar w:top="284" w:right="711" w:bottom="280" w:left="851" w:header="720" w:footer="1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89" w:rsidRDefault="00B43389" w:rsidP="00124859">
      <w:r>
        <w:separator/>
      </w:r>
    </w:p>
  </w:endnote>
  <w:endnote w:type="continuationSeparator" w:id="1">
    <w:p w:rsidR="00B43389" w:rsidRDefault="00B43389" w:rsidP="0012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Narrow Bold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 Narrow">
    <w:altName w:val="Tahom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Narrow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59" w:rsidRDefault="00124859">
    <w:pPr>
      <w:pStyle w:val="Pieddepage"/>
    </w:pPr>
  </w:p>
  <w:p w:rsidR="00124859" w:rsidRDefault="001248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89" w:rsidRDefault="00B43389" w:rsidP="00124859">
      <w:r>
        <w:separator/>
      </w:r>
    </w:p>
  </w:footnote>
  <w:footnote w:type="continuationSeparator" w:id="1">
    <w:p w:rsidR="00B43389" w:rsidRDefault="00B43389" w:rsidP="00124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22996"/>
    <w:rsid w:val="00056F4F"/>
    <w:rsid w:val="00124859"/>
    <w:rsid w:val="0014169C"/>
    <w:rsid w:val="003D4B3F"/>
    <w:rsid w:val="00462244"/>
    <w:rsid w:val="00595B22"/>
    <w:rsid w:val="005A1993"/>
    <w:rsid w:val="005E201B"/>
    <w:rsid w:val="00622996"/>
    <w:rsid w:val="00632C34"/>
    <w:rsid w:val="0063698C"/>
    <w:rsid w:val="006A070D"/>
    <w:rsid w:val="008C6A6E"/>
    <w:rsid w:val="00A83F3B"/>
    <w:rsid w:val="00B43389"/>
    <w:rsid w:val="00CC6120"/>
    <w:rsid w:val="00CE2C47"/>
    <w:rsid w:val="00D07F2A"/>
    <w:rsid w:val="00D2553E"/>
    <w:rsid w:val="00D9654E"/>
    <w:rsid w:val="00DB6B47"/>
    <w:rsid w:val="00F5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3B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F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83F3B"/>
    <w:rPr>
      <w:sz w:val="24"/>
      <w:szCs w:val="24"/>
    </w:rPr>
  </w:style>
  <w:style w:type="paragraph" w:styleId="Titre">
    <w:name w:val="Title"/>
    <w:basedOn w:val="Normal"/>
    <w:uiPriority w:val="10"/>
    <w:qFormat/>
    <w:rsid w:val="00A83F3B"/>
    <w:pPr>
      <w:spacing w:before="114"/>
      <w:ind w:left="5912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A83F3B"/>
  </w:style>
  <w:style w:type="paragraph" w:customStyle="1" w:styleId="TableParagraph">
    <w:name w:val="Table Paragraph"/>
    <w:basedOn w:val="Normal"/>
    <w:uiPriority w:val="1"/>
    <w:qFormat/>
    <w:rsid w:val="00A83F3B"/>
  </w:style>
  <w:style w:type="paragraph" w:styleId="NormalWeb">
    <w:name w:val="Normal (Web)"/>
    <w:basedOn w:val="Normal"/>
    <w:uiPriority w:val="99"/>
    <w:unhideWhenUsed/>
    <w:rsid w:val="003D4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paragraph" w:customStyle="1" w:styleId="Default">
    <w:name w:val="Default"/>
    <w:rsid w:val="00124859"/>
    <w:pPr>
      <w:widowControl/>
      <w:suppressAutoHyphens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val="fr-FR" w:eastAsia="zh-CN"/>
    </w:rPr>
  </w:style>
  <w:style w:type="paragraph" w:customStyle="1" w:styleId="Pa0">
    <w:name w:val="Pa0"/>
    <w:basedOn w:val="Default"/>
    <w:next w:val="Default"/>
    <w:rsid w:val="00124859"/>
    <w:pPr>
      <w:spacing w:line="241" w:lineRule="atLeast"/>
    </w:pPr>
    <w:rPr>
      <w:rFonts w:cs="Times New Roman"/>
    </w:rPr>
  </w:style>
  <w:style w:type="character" w:customStyle="1" w:styleId="A0">
    <w:name w:val="A0"/>
    <w:rsid w:val="00124859"/>
    <w:rPr>
      <w:rFonts w:cs="Arial"/>
      <w:b/>
      <w:bCs/>
      <w:color w:val="000000"/>
      <w:sz w:val="12"/>
      <w:szCs w:val="12"/>
    </w:rPr>
  </w:style>
  <w:style w:type="character" w:customStyle="1" w:styleId="Internetlink">
    <w:name w:val="Internet link"/>
    <w:basedOn w:val="Policepardfaut"/>
    <w:rsid w:val="00124859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12485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248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485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248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4859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5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53E"/>
    <w:rPr>
      <w:rFonts w:ascii="Tahoma" w:eastAsia="Times New Roman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D25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Vallaperta</dc:creator>
  <cp:lastModifiedBy>USER</cp:lastModifiedBy>
  <cp:revision>3</cp:revision>
  <cp:lastPrinted>2023-03-10T16:16:00Z</cp:lastPrinted>
  <dcterms:created xsi:type="dcterms:W3CDTF">2023-03-13T11:15:00Z</dcterms:created>
  <dcterms:modified xsi:type="dcterms:W3CDTF">2023-03-13T11:16:00Z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2023-03-10T00:00:00Z</vt:filetime>
  </property>
</Properties>
</file>