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C7" w:rsidRPr="00BF314B" w:rsidRDefault="00E94FFD" w:rsidP="00E84204">
      <w:pPr>
        <w:jc w:val="center"/>
        <w:rPr>
          <w:rFonts w:ascii="Verdana" w:hAnsi="Verdana"/>
          <w:color w:val="000000" w:themeColor="text1"/>
          <w:sz w:val="64"/>
          <w:szCs w:val="64"/>
        </w:rPr>
      </w:pPr>
      <w:r w:rsidRPr="00BF314B">
        <w:rPr>
          <w:rFonts w:ascii="Verdana" w:hAnsi="Verdana" w:cs="Swift-ExtraBold"/>
          <w:b/>
          <w:bCs/>
          <w:color w:val="000000" w:themeColor="text1"/>
          <w:sz w:val="64"/>
          <w:szCs w:val="64"/>
          <w:highlight w:val="yellow"/>
          <w:bdr w:val="single" w:sz="36" w:space="0" w:color="auto"/>
        </w:rPr>
        <w:t>Les règles du théâtre classique</w:t>
      </w:r>
    </w:p>
    <w:p w:rsidR="00C04862" w:rsidRPr="00BF314B" w:rsidRDefault="00E84204" w:rsidP="00E84204">
      <w:pPr>
        <w:spacing w:after="240"/>
        <w:rPr>
          <w:rFonts w:ascii="Verdana" w:hAnsi="Verdana"/>
          <w:b/>
          <w:color w:val="000000" w:themeColor="text1"/>
          <w:sz w:val="64"/>
          <w:szCs w:val="64"/>
          <w:u w:val="single"/>
        </w:rPr>
      </w:pPr>
      <w:r w:rsidRPr="00BF314B">
        <w:rPr>
          <w:rFonts w:ascii="Verdana" w:hAnsi="Verdana" w:cs="Kievit-Extrabold"/>
          <w:color w:val="000000" w:themeColor="text1"/>
          <w:sz w:val="64"/>
          <w:szCs w:val="64"/>
        </w:rPr>
        <w:sym w:font="Wingdings" w:char="F06C"/>
      </w:r>
      <w:r w:rsidRPr="00BF314B">
        <w:rPr>
          <w:rFonts w:ascii="Verdana" w:hAnsi="Verdana" w:cs="Kievit-Extrabold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>Qu’est-ce que le classicisme ?</w:t>
      </w:r>
    </w:p>
    <w:p w:rsidR="00E94FFD" w:rsidRPr="00BF314B" w:rsidRDefault="00E94FFD" w:rsidP="00E84204">
      <w:pPr>
        <w:autoSpaceDE w:val="0"/>
        <w:autoSpaceDN w:val="0"/>
        <w:adjustRightInd w:val="0"/>
        <w:spacing w:after="12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Le mot </w:t>
      </w:r>
      <w:r w:rsidRPr="00BF314B">
        <w:rPr>
          <w:rFonts w:ascii="Verdana" w:hAnsi="Verdana" w:cs="Kievit-BoldItalic"/>
          <w:b/>
          <w:bCs/>
          <w:i/>
          <w:iCs/>
          <w:color w:val="000000" w:themeColor="text1"/>
          <w:sz w:val="64"/>
          <w:szCs w:val="64"/>
          <w:highlight w:val="yellow"/>
        </w:rPr>
        <w:t>classicisme</w:t>
      </w:r>
      <w:r w:rsidRPr="00BF314B">
        <w:rPr>
          <w:rFonts w:ascii="Verdana" w:hAnsi="Verdana" w:cs="Kievit-BoldItalic"/>
          <w:b/>
          <w:bCs/>
          <w:i/>
          <w:iCs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apparaît au </w:t>
      </w:r>
      <w:r w:rsidRPr="00BF314B">
        <w:rPr>
          <w:rFonts w:ascii="Verdana" w:hAnsi="Verdana" w:cs="Kievit-RegularSC"/>
          <w:color w:val="000000" w:themeColor="text1"/>
          <w:sz w:val="64"/>
          <w:szCs w:val="64"/>
        </w:rPr>
        <w:t>XIX</w:t>
      </w:r>
      <w:r w:rsidRPr="00BF314B">
        <w:rPr>
          <w:rFonts w:ascii="Verdana" w:hAnsi="Verdana" w:cs="Kievit-Regular"/>
          <w:color w:val="000000" w:themeColor="text1"/>
          <w:sz w:val="64"/>
          <w:szCs w:val="64"/>
          <w:vertAlign w:val="superscript"/>
        </w:rPr>
        <w:t>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siècle pour désigner la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génér</w:t>
      </w:r>
      <w:r w:rsidR="00D45B62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ation d’écrivains et d’artistes</w:t>
      </w:r>
      <w:r w:rsidR="00D45B62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du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règne de Louis XIV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et particulièrement des années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1660-1685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. Ces auteurs ne se </w:t>
      </w:r>
      <w:r w:rsidR="00D45B62" w:rsidRPr="00BF314B">
        <w:rPr>
          <w:rFonts w:ascii="Verdana" w:hAnsi="Verdana" w:cs="Kievit-Regular"/>
          <w:color w:val="000000" w:themeColor="text1"/>
          <w:sz w:val="64"/>
          <w:szCs w:val="64"/>
        </w:rPr>
        <w:t>voyaient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pas eux-mêmes</w:t>
      </w:r>
      <w:r w:rsidR="00D45B62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comme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"classiques", m</w:t>
      </w:r>
      <w:r w:rsidR="00D45B62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ais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ils adhéraient à une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certaine vision du monde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et à un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ensemble de principes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E94FFD" w:rsidP="00E84204">
      <w:pPr>
        <w:autoSpaceDE w:val="0"/>
        <w:autoSpaceDN w:val="0"/>
        <w:adjustRightInd w:val="0"/>
        <w:spacing w:after="12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lastRenderedPageBreak/>
        <w:t xml:space="preserve">Le classicisme </w:t>
      </w:r>
      <w:r w:rsidR="00BC7C06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se développe sous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la monarchie absolue</w:t>
      </w:r>
      <w:r w:rsidR="00BC7C06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qui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fait régner l’ordre dans un État centralisé. </w:t>
      </w:r>
      <w:r w:rsidR="00BC7C06" w:rsidRPr="00BF314B">
        <w:rPr>
          <w:rFonts w:ascii="Verdana" w:hAnsi="Verdana" w:cs="Kievit-Regular"/>
          <w:color w:val="000000" w:themeColor="text1"/>
          <w:sz w:val="64"/>
          <w:szCs w:val="64"/>
        </w:rPr>
        <w:t>Cela se traduit, d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ans la littérature comme dans les arts</w:t>
      </w:r>
      <w:r w:rsidR="00BC7C06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par :</w:t>
      </w:r>
    </w:p>
    <w:p w:rsidR="00E94FFD" w:rsidRPr="00BF314B" w:rsidRDefault="00E84204" w:rsidP="002B621F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L’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imitation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des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œuvres antiques </w:t>
      </w:r>
      <w:r w:rsidR="00A259CB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modèle de perfection</w:t>
      </w:r>
      <w:r w:rsidR="00A259CB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;</w:t>
      </w:r>
    </w:p>
    <w:p w:rsidR="00E94FFD" w:rsidRPr="00BF314B" w:rsidRDefault="00E84204" w:rsidP="002B621F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La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recherche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de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sobriété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et d’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équilibre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</w:t>
      </w:r>
      <w:r w:rsidR="003A5A19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respect de la raison rejette l’excentricité</w:t>
      </w:r>
      <w:r w:rsidR="003A5A19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;</w:t>
      </w:r>
    </w:p>
    <w:p w:rsidR="00C04862" w:rsidRPr="00BF314B" w:rsidRDefault="00E84204" w:rsidP="002B621F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La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croyanc</w:t>
      </w:r>
      <w:bookmarkStart w:id="0" w:name="_GoBack"/>
      <w:bookmarkEnd w:id="0"/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en une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"nature humaine" universelle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en une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vérité </w:t>
      </w:r>
      <w:r w:rsidR="00A259CB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universelle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E84204" w:rsidP="00E84204">
      <w:pPr>
        <w:autoSpaceDE w:val="0"/>
        <w:autoSpaceDN w:val="0"/>
        <w:adjustRightInd w:val="0"/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</w:pPr>
      <w:r w:rsidRPr="00BF314B">
        <w:rPr>
          <w:rFonts w:ascii="Verdana" w:hAnsi="Verdana" w:cs="Kievit-Extrabold"/>
          <w:color w:val="000000" w:themeColor="text1"/>
          <w:sz w:val="64"/>
          <w:szCs w:val="64"/>
        </w:rPr>
        <w:lastRenderedPageBreak/>
        <w:sym w:font="Wingdings" w:char="F06C"/>
      </w:r>
      <w:r w:rsidRPr="00BF314B">
        <w:rPr>
          <w:rFonts w:ascii="Verdana" w:hAnsi="Verdana" w:cs="Kievit-Extrabold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>L’origine des règles</w:t>
      </w:r>
    </w:p>
    <w:p w:rsidR="00E94FFD" w:rsidRPr="00BF314B" w:rsidRDefault="004F1747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t>Dès l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es années 1630, un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ensemble de principes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et de contraintes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va définir les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règles du théâtre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notamment dans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la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tragédie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considérée comme le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genre noble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E94FFD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Ainsi, les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pièces de la seconde moitié du </w:t>
      </w:r>
      <w:r w:rsidR="00FD3AED" w:rsidRPr="00BF314B">
        <w:rPr>
          <w:rFonts w:ascii="Verdana" w:hAnsi="Verdana" w:cs="Kievit-RegularSC"/>
          <w:color w:val="000000" w:themeColor="text1"/>
          <w:sz w:val="64"/>
          <w:szCs w:val="64"/>
          <w:highlight w:val="yellow"/>
        </w:rPr>
        <w:t>XVII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  <w:vertAlign w:val="superscript"/>
        </w:rPr>
        <w:t>e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siècle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4F1747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règne de Louis XIV</w:t>
      </w:r>
      <w:r w:rsidR="004F1747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, se différencient du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théâtre dit 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>"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irrégulier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>"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du début du siècle, qui cherchait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surtout à frapper la sensibilité des spectateurs</w:t>
      </w:r>
      <w:r w:rsidR="00F448CB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(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actions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violentes ou exubérantes</w:t>
      </w:r>
      <w:r w:rsidR="00F448CB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E94FFD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lastRenderedPageBreak/>
        <w:t xml:space="preserve">Pour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codifier le théâtre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les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théoriciens </w:t>
      </w:r>
      <w:r w:rsidR="004D17AC" w:rsidRPr="00BF314B">
        <w:rPr>
          <w:rFonts w:ascii="Verdana" w:hAnsi="Verdana" w:cs="Kievit-Regular"/>
          <w:color w:val="000000" w:themeColor="text1"/>
          <w:sz w:val="64"/>
          <w:szCs w:val="64"/>
        </w:rPr>
        <w:t>comme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Boileau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s’inspirent </w:t>
      </w:r>
      <w:r w:rsidR="004D17AC" w:rsidRPr="00BF314B">
        <w:rPr>
          <w:rFonts w:ascii="Verdana" w:hAnsi="Verdana" w:cs="Kievit-Regular"/>
          <w:color w:val="000000" w:themeColor="text1"/>
          <w:sz w:val="64"/>
          <w:szCs w:val="64"/>
        </w:rPr>
        <w:t>surtou</w:t>
      </w:r>
      <w:r w:rsidR="001212C7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t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des pièces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antiques. Les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dramaturges</w:t>
      </w:r>
      <w:r w:rsidR="00030100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expliquent </w:t>
      </w:r>
      <w:r w:rsidR="00115032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préfaces de</w:t>
      </w:r>
      <w:r w:rsidR="00115032" w:rsidRPr="00BF314B">
        <w:rPr>
          <w:rFonts w:ascii="Verdana" w:hAnsi="Verdana" w:cs="Kievit-Regular"/>
          <w:color w:val="000000" w:themeColor="text1"/>
          <w:sz w:val="64"/>
          <w:szCs w:val="64"/>
        </w:rPr>
        <w:t>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pièces</w:t>
      </w:r>
      <w:r w:rsidR="00115032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comment ils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ont respecté ces règles ou, </w:t>
      </w:r>
      <w:r w:rsidR="001212C7" w:rsidRPr="00BF314B">
        <w:rPr>
          <w:rFonts w:ascii="Verdana" w:hAnsi="Verdana" w:cs="Kievit-Regular"/>
          <w:color w:val="000000" w:themeColor="text1"/>
          <w:sz w:val="64"/>
          <w:szCs w:val="64"/>
        </w:rPr>
        <w:t>comme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Corneille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notamment, pourquoi ils s’en sont parfois écartés.</w:t>
      </w:r>
    </w:p>
    <w:p w:rsidR="00E94FFD" w:rsidRPr="00BF314B" w:rsidRDefault="00E84204" w:rsidP="00E84204">
      <w:pPr>
        <w:autoSpaceDE w:val="0"/>
        <w:autoSpaceDN w:val="0"/>
        <w:adjustRightInd w:val="0"/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</w:pPr>
      <w:r w:rsidRPr="00BF314B">
        <w:rPr>
          <w:rFonts w:ascii="Verdana" w:hAnsi="Verdana" w:cs="Kievit-Extrabold"/>
          <w:b/>
          <w:color w:val="000000" w:themeColor="text1"/>
          <w:sz w:val="64"/>
          <w:szCs w:val="64"/>
        </w:rPr>
        <w:sym w:font="Wingdings" w:char="F06C"/>
      </w:r>
      <w:r w:rsidRPr="00BF314B">
        <w:rPr>
          <w:rFonts w:ascii="Verdana" w:hAnsi="Verdana" w:cs="Kievit-Extrabold"/>
          <w:b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>La règle de la vraisemblance</w:t>
      </w:r>
    </w:p>
    <w:p w:rsidR="00E94FFD" w:rsidRPr="00BF314B" w:rsidRDefault="00E94FFD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La notion de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vraisemblance </w:t>
      </w:r>
      <w:r w:rsidR="00BF5E23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est </w:t>
      </w:r>
      <w:r w:rsidR="00BF5E23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centrale</w:t>
      </w:r>
      <w:r w:rsidR="00BF5E23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dans les </w:t>
      </w:r>
      <w:r w:rsidR="00BF5E23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règles du théâtre classique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. Il ne s’agit pas de faire vrai, mais de se conformer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à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ce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lastRenderedPageBreak/>
        <w:t>qu’admet le public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. Ainsi, la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mort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d’Hippolyte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tué par un monstre marin à la fin de </w:t>
      </w:r>
      <w:r w:rsidRPr="00BF314B">
        <w:rPr>
          <w:rFonts w:ascii="Verdana" w:hAnsi="Verdana" w:cs="Kievit-RegularItalic"/>
          <w:i/>
          <w:iCs/>
          <w:color w:val="000000" w:themeColor="text1"/>
          <w:sz w:val="64"/>
          <w:szCs w:val="64"/>
          <w:highlight w:val="yellow"/>
        </w:rPr>
        <w:t xml:space="preserve">Phèdre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de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Racine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pourrait paraître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invraisemblable à un spectateur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d’aujourd’hui</w:t>
      </w:r>
      <w:r w:rsidR="00105752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76555E" w:rsidP="007506DD">
      <w:pPr>
        <w:autoSpaceDE w:val="0"/>
        <w:autoSpaceDN w:val="0"/>
        <w:adjustRightInd w:val="0"/>
        <w:spacing w:after="72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t>À l’inverse</w:t>
      </w:r>
      <w:r w:rsidR="007506DD" w:rsidRPr="00BF314B">
        <w:rPr>
          <w:rFonts w:ascii="Verdana" w:hAnsi="Verdana" w:cs="Kievit-Regular"/>
          <w:color w:val="000000" w:themeColor="text1"/>
          <w:sz w:val="64"/>
          <w:szCs w:val="64"/>
        </w:rPr>
        <w:t>,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certains auteurs 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>ont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modifi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>é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des éléments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historiques ou mythologiques jugés irrecevables pour le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public de l’époque (Racine sauve la vie d’Iphigénie,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sacrifiée par son père dans le mythe grec).</w:t>
      </w:r>
    </w:p>
    <w:p w:rsidR="00E94FFD" w:rsidRPr="00BF314B" w:rsidRDefault="00E84204" w:rsidP="00E84204">
      <w:pPr>
        <w:autoSpaceDE w:val="0"/>
        <w:autoSpaceDN w:val="0"/>
        <w:adjustRightInd w:val="0"/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</w:pPr>
      <w:r w:rsidRPr="00BF314B">
        <w:rPr>
          <w:rFonts w:ascii="Verdana" w:hAnsi="Verdana" w:cs="Kievit-Extrabold"/>
          <w:color w:val="000000" w:themeColor="text1"/>
          <w:sz w:val="64"/>
          <w:szCs w:val="64"/>
        </w:rPr>
        <w:lastRenderedPageBreak/>
        <w:sym w:font="Wingdings" w:char="F06C"/>
      </w:r>
      <w:r w:rsidRPr="00BF314B">
        <w:rPr>
          <w:rFonts w:ascii="Verdana" w:hAnsi="Verdana" w:cs="Kievit-Extrabold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>La règle des bienséances</w:t>
      </w:r>
    </w:p>
    <w:p w:rsidR="00E94FFD" w:rsidRPr="00BF314B" w:rsidRDefault="00E94FFD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La notion de </w:t>
      </w:r>
      <w:r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bienséance </w:t>
      </w:r>
      <w:r w:rsidR="007506DD" w:rsidRPr="00BF314B">
        <w:rPr>
          <w:rFonts w:ascii="Verdana" w:hAnsi="Verdana" w:cs="Kievit-Regular"/>
          <w:color w:val="000000" w:themeColor="text1"/>
          <w:sz w:val="64"/>
          <w:szCs w:val="64"/>
        </w:rPr>
        <w:t>est,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là encore</w:t>
      </w:r>
      <w:r w:rsidR="007506DD" w:rsidRPr="00BF314B">
        <w:rPr>
          <w:rFonts w:ascii="Verdana" w:hAnsi="Verdana" w:cs="Kievit-Regular"/>
          <w:color w:val="000000" w:themeColor="text1"/>
          <w:sz w:val="64"/>
          <w:szCs w:val="64"/>
        </w:rPr>
        <w:t>, pour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respecter le goût du public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ne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pas heurter sa sensibilité ni les codes de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bonnes manières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F51A0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souci d’ordre moral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et esthétique</w:t>
      </w:r>
      <w:r w:rsidR="00EF51A0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. La bienséance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est </w:t>
      </w:r>
      <w:r w:rsidR="00EF51A0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moins un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choix d</w:t>
      </w:r>
      <w:r w:rsidR="00EF51A0" w:rsidRPr="00BF314B">
        <w:rPr>
          <w:rFonts w:ascii="Verdana" w:hAnsi="Verdana" w:cs="Kievit-Regular"/>
          <w:color w:val="000000" w:themeColor="text1"/>
          <w:sz w:val="64"/>
          <w:szCs w:val="64"/>
        </w:rPr>
        <w:t>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sujet</w:t>
      </w:r>
      <w:r w:rsidR="00EF51A0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qu’un choix de style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: la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tragédie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comme la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comédie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font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référence à des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actes violents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ou 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choquants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(meurtres, tromperie</w:t>
      </w:r>
      <w:r w:rsidR="0076555E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…) qu’il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convient de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dire au lieu de montrer.</w:t>
      </w:r>
    </w:p>
    <w:p w:rsidR="00E94FFD" w:rsidRPr="00BF314B" w:rsidRDefault="00E94FFD" w:rsidP="00E84204">
      <w:pPr>
        <w:autoSpaceDE w:val="0"/>
        <w:autoSpaceDN w:val="0"/>
        <w:adjustRightInd w:val="0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lastRenderedPageBreak/>
        <w:t xml:space="preserve">On distingue </w:t>
      </w:r>
      <w:r w:rsidR="00304DF6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2</w:t>
      </w:r>
      <w:r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sortes de bienséances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:</w:t>
      </w:r>
    </w:p>
    <w:p w:rsidR="00E94FFD" w:rsidRPr="00BF314B" w:rsidRDefault="0076555E" w:rsidP="002B621F">
      <w:pPr>
        <w:autoSpaceDE w:val="0"/>
        <w:autoSpaceDN w:val="0"/>
        <w:adjustRightInd w:val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Les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bienséances </w:t>
      </w:r>
      <w:r w:rsidR="00304DF6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"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internes</w:t>
      </w:r>
      <w:r w:rsidR="00304DF6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"</w:t>
      </w:r>
      <w:r w:rsidR="008205C8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 </w:t>
      </w:r>
      <w:r w:rsidR="008205C8" w:rsidRPr="00BF314B">
        <w:rPr>
          <w:rFonts w:ascii="Verdana" w:hAnsi="Verdana" w:cs="Kievit-Regular"/>
          <w:color w:val="000000" w:themeColor="text1"/>
          <w:sz w:val="64"/>
          <w:szCs w:val="64"/>
        </w:rPr>
        <w:t>: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le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comportement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et le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langage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des personnages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8205C8" w:rsidRPr="00BF314B">
        <w:rPr>
          <w:rFonts w:ascii="Verdana" w:hAnsi="Verdana" w:cs="Kievit-Regular"/>
          <w:color w:val="000000" w:themeColor="text1"/>
          <w:sz w:val="64"/>
          <w:szCs w:val="64"/>
        </w:rPr>
        <w:t>so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nt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conformes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à leurs origines,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leur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rang social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et au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genre de la pièce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. Un roi de tragédie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ne saurait parler ni agir comme un valet de comédie</w:t>
      </w:r>
      <w:r w:rsidR="008205C8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(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souci de la vraisemblance</w:t>
      </w:r>
      <w:r w:rsidR="008205C8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76555E" w:rsidP="002B621F">
      <w:pPr>
        <w:autoSpaceDE w:val="0"/>
        <w:autoSpaceDN w:val="0"/>
        <w:adjustRightInd w:val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Les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bienséances </w:t>
      </w:r>
      <w:r w:rsidR="00304DF6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"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externes</w:t>
      </w:r>
      <w:r w:rsidR="00304DF6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>"</w:t>
      </w:r>
      <w:r w:rsidR="00952668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 :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représentation</w:t>
      </w:r>
      <w:r w:rsidR="00952668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interdite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sur scène d’actes violents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(meurtres, suicides, combats).</w:t>
      </w:r>
    </w:p>
    <w:p w:rsidR="00E94FFD" w:rsidRPr="00BF314B" w:rsidRDefault="0076555E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lastRenderedPageBreak/>
        <w:t>Ils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font l’objet d’un récit raconté par un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personnage-témoin. Dans la tragédie, on </w:t>
      </w:r>
      <w:r w:rsidR="00946031" w:rsidRPr="00BF314B">
        <w:rPr>
          <w:rFonts w:ascii="Verdana" w:hAnsi="Verdana" w:cs="Kievit-Regular"/>
          <w:color w:val="000000" w:themeColor="text1"/>
          <w:sz w:val="64"/>
          <w:szCs w:val="64"/>
        </w:rPr>
        <w:t>interdi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t </w:t>
      </w:r>
      <w:r w:rsidR="00946031" w:rsidRPr="00BF314B">
        <w:rPr>
          <w:rFonts w:ascii="Verdana" w:hAnsi="Verdana" w:cs="Kievit-Regular"/>
          <w:color w:val="000000" w:themeColor="text1"/>
          <w:sz w:val="64"/>
          <w:szCs w:val="64"/>
        </w:rPr>
        <w:t>aussi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toute allusion directe à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certains sujets (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sexualité, vie du corps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choses matérielles 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[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nourriture, argent, etc.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]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).</w:t>
      </w:r>
    </w:p>
    <w:p w:rsidR="00E94FFD" w:rsidRPr="00BF314B" w:rsidRDefault="00E84204" w:rsidP="00E84204">
      <w:pPr>
        <w:autoSpaceDE w:val="0"/>
        <w:autoSpaceDN w:val="0"/>
        <w:adjustRightInd w:val="0"/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</w:pPr>
      <w:r w:rsidRPr="00BF314B">
        <w:rPr>
          <w:rFonts w:ascii="Verdana" w:hAnsi="Verdana" w:cs="Kievit-Extrabold"/>
          <w:color w:val="000000" w:themeColor="text1"/>
          <w:sz w:val="64"/>
          <w:szCs w:val="64"/>
        </w:rPr>
        <w:sym w:font="Wingdings" w:char="F06C"/>
      </w:r>
      <w:r w:rsidRPr="00BF314B">
        <w:rPr>
          <w:rFonts w:ascii="Verdana" w:hAnsi="Verdana" w:cs="Kievit-Extrabold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>La</w:t>
      </w:r>
      <w:r w:rsidR="00FD3AE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 xml:space="preserve"> </w:t>
      </w:r>
      <w:r w:rsidR="00E94FFD" w:rsidRPr="00BF314B">
        <w:rPr>
          <w:rFonts w:ascii="Verdana" w:hAnsi="Verdana" w:cs="Kievit-Extrabold"/>
          <w:b/>
          <w:color w:val="000000" w:themeColor="text1"/>
          <w:sz w:val="64"/>
          <w:szCs w:val="64"/>
          <w:u w:val="single"/>
        </w:rPr>
        <w:t>règle des trois unités</w:t>
      </w:r>
    </w:p>
    <w:p w:rsidR="00E94FFD" w:rsidRPr="00BF314B" w:rsidRDefault="007A02A3" w:rsidP="002B621F">
      <w:pPr>
        <w:autoSpaceDE w:val="0"/>
        <w:autoSpaceDN w:val="0"/>
        <w:adjustRightInd w:val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u w:val="thick"/>
        </w:rPr>
        <w:t xml:space="preserve">L’unité de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  <w:u w:val="thick"/>
        </w:rPr>
        <w:t>temps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 </w:t>
      </w:r>
      <w:r w:rsidR="00952668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durée de l’action ne dépass</w:t>
      </w:r>
      <w:r w:rsidR="00952668" w:rsidRPr="00BF314B">
        <w:rPr>
          <w:rFonts w:ascii="Verdana" w:hAnsi="Verdana" w:cs="Kievit-Regular"/>
          <w:color w:val="000000" w:themeColor="text1"/>
          <w:sz w:val="64"/>
          <w:szCs w:val="64"/>
        </w:rPr>
        <w:t>ant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pas </w:t>
      </w:r>
      <w:r w:rsidR="00952668" w:rsidRPr="00BF314B">
        <w:rPr>
          <w:rFonts w:ascii="Verdana" w:hAnsi="Verdana" w:cs="Kievit-Regular"/>
          <w:color w:val="000000" w:themeColor="text1"/>
          <w:sz w:val="64"/>
          <w:szCs w:val="64"/>
        </w:rPr>
        <w:t>24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heures</w:t>
      </w:r>
      <w:r w:rsidR="00952668" w:rsidRPr="00BF314B">
        <w:rPr>
          <w:rFonts w:ascii="Verdana" w:hAnsi="Verdana" w:cs="Kievit-Regular"/>
          <w:color w:val="000000" w:themeColor="text1"/>
          <w:sz w:val="64"/>
          <w:szCs w:val="64"/>
        </w:rPr>
        <w:t>)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est là pour éviter de nuire</w:t>
      </w:r>
      <w:r w:rsidR="00F24446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au principe de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vraisemblance</w:t>
      </w:r>
      <w:r w:rsidR="00F24446" w:rsidRPr="00BF314B">
        <w:rPr>
          <w:rFonts w:ascii="Verdana" w:hAnsi="Verdana" w:cs="Kievit-Regular"/>
          <w:color w:val="000000" w:themeColor="text1"/>
          <w:sz w:val="64"/>
          <w:szCs w:val="64"/>
        </w:rPr>
        <w:t>. Si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Corneille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ou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Molière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prennent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parfois des libertés avec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lastRenderedPageBreak/>
        <w:t xml:space="preserve">cette règle,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Racine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la respecte</w:t>
      </w:r>
      <w:r w:rsidR="00F24446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F24446" w:rsidRPr="00BF314B">
        <w:rPr>
          <w:rFonts w:ascii="Verdana" w:hAnsi="Verdana" w:cs="Kievit-Regular"/>
          <w:color w:val="000000" w:themeColor="text1"/>
          <w:sz w:val="64"/>
          <w:szCs w:val="64"/>
        </w:rPr>
        <w:t>Le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sentiment de l’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urgence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devient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alors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un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élément essentiel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du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tragique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>, car l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es personnages se confrontent à la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catastrophe, qu’ils savent inévitable.</w:t>
      </w:r>
    </w:p>
    <w:p w:rsidR="00E94FFD" w:rsidRPr="00BF314B" w:rsidRDefault="007A02A3" w:rsidP="002B621F">
      <w:pPr>
        <w:autoSpaceDE w:val="0"/>
        <w:autoSpaceDN w:val="0"/>
        <w:adjustRightInd w:val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u w:val="thick"/>
        </w:rPr>
        <w:t>L’unité d’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  <w:u w:val="thick"/>
        </w:rPr>
        <w:t>action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vise à concentrer l’intérêt sur le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sujet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principal de la pièce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>(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fils de l’intrigue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entrelacés)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E94FFD" w:rsidRPr="00BF314B" w:rsidRDefault="007A02A3" w:rsidP="002B621F">
      <w:pPr>
        <w:autoSpaceDE w:val="0"/>
        <w:autoSpaceDN w:val="0"/>
        <w:adjustRightInd w:val="0"/>
        <w:ind w:firstLine="708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color w:val="000000" w:themeColor="text1"/>
          <w:sz w:val="64"/>
          <w:szCs w:val="64"/>
        </w:rPr>
        <w:sym w:font="Wingdings" w:char="F075"/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u w:val="thick"/>
        </w:rPr>
        <w:t xml:space="preserve">L’unité de </w:t>
      </w:r>
      <w:r w:rsidR="00E94FFD" w:rsidRPr="00BF314B">
        <w:rPr>
          <w:rFonts w:ascii="Verdana" w:hAnsi="Verdana" w:cs="Kievit-Bold"/>
          <w:b/>
          <w:bCs/>
          <w:color w:val="000000" w:themeColor="text1"/>
          <w:sz w:val="64"/>
          <w:szCs w:val="64"/>
          <w:u w:val="thick"/>
        </w:rPr>
        <w:t>lieu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, conséquence des </w:t>
      </w:r>
      <w:r w:rsidR="00F542BD" w:rsidRPr="00BF314B">
        <w:rPr>
          <w:rFonts w:ascii="Verdana" w:hAnsi="Verdana" w:cs="Kievit-Regular"/>
          <w:color w:val="000000" w:themeColor="text1"/>
          <w:sz w:val="64"/>
          <w:szCs w:val="64"/>
        </w:rPr>
        <w:t>2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autres, consiste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à inscrire l’action dans un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espace unique et polyvalent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(entrée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de palais, salle du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lastRenderedPageBreak/>
        <w:t>trône)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qui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contribue au</w:t>
      </w:r>
      <w:r w:rsidR="00FD3AE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 xml:space="preserve">tragique en donnant 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  <w:highlight w:val="yellow"/>
        </w:rPr>
        <w:t>l’impression d’un huis clos</w:t>
      </w:r>
      <w:r w:rsidR="00E94FFD"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p w:rsidR="00383354" w:rsidRPr="00BF314B" w:rsidRDefault="007A02A3" w:rsidP="00E84204">
      <w:pPr>
        <w:autoSpaceDE w:val="0"/>
        <w:autoSpaceDN w:val="0"/>
        <w:adjustRightInd w:val="0"/>
        <w:jc w:val="both"/>
        <w:rPr>
          <w:rFonts w:ascii="Verdana" w:hAnsi="Verdana" w:cs="Kievit-Regular"/>
          <w:color w:val="000000" w:themeColor="text1"/>
          <w:sz w:val="64"/>
          <w:szCs w:val="64"/>
        </w:rPr>
      </w:pPr>
      <w:r w:rsidRPr="00BF314B">
        <w:rPr>
          <w:rFonts w:ascii="Verdana" w:hAnsi="Verdana" w:cs="Kievit-Regular"/>
          <w:b/>
          <w:color w:val="000000" w:themeColor="text1"/>
          <w:sz w:val="64"/>
          <w:szCs w:val="64"/>
          <w:u w:val="thick"/>
        </w:rPr>
        <w:t>Attention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 : c</w:t>
      </w:r>
      <w:r w:rsidR="00383354" w:rsidRPr="00BF314B">
        <w:rPr>
          <w:rFonts w:ascii="Verdana" w:hAnsi="Verdana" w:cs="Kievit-Regular"/>
          <w:color w:val="000000" w:themeColor="text1"/>
          <w:sz w:val="64"/>
          <w:szCs w:val="64"/>
        </w:rPr>
        <w:t>es règles (stimulantes et contraignantes) ont été respectées mais aussi transgressées par les auteurs classiques</w:t>
      </w:r>
      <w:r w:rsidRPr="00BF314B">
        <w:rPr>
          <w:rFonts w:ascii="Verdana" w:hAnsi="Verdana" w:cs="Kievit-Regular"/>
          <w:color w:val="000000" w:themeColor="text1"/>
          <w:sz w:val="64"/>
          <w:szCs w:val="64"/>
        </w:rPr>
        <w:t>.</w:t>
      </w:r>
    </w:p>
    <w:sectPr w:rsidR="00383354" w:rsidRPr="00BF314B" w:rsidSect="00F542BD">
      <w:footerReference w:type="default" r:id="rId7"/>
      <w:pgSz w:w="16838" w:h="11906" w:orient="landscape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BD" w:rsidRDefault="008B27BD" w:rsidP="00F542BD">
      <w:pPr>
        <w:spacing w:after="0" w:line="240" w:lineRule="auto"/>
      </w:pPr>
      <w:r>
        <w:separator/>
      </w:r>
    </w:p>
  </w:endnote>
  <w:endnote w:type="continuationSeparator" w:id="0">
    <w:p w:rsidR="008B27BD" w:rsidRDefault="008B27BD" w:rsidP="00F5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ft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Regular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349564"/>
      <w:docPartObj>
        <w:docPartGallery w:val="Page Numbers (Bottom of Page)"/>
        <w:docPartUnique/>
      </w:docPartObj>
    </w:sdtPr>
    <w:sdtEndPr>
      <w:rPr>
        <w:rFonts w:ascii="Verdana" w:hAnsi="Verdana"/>
        <w:sz w:val="64"/>
        <w:szCs w:val="64"/>
      </w:rPr>
    </w:sdtEndPr>
    <w:sdtContent>
      <w:p w:rsidR="00F542BD" w:rsidRPr="00F542BD" w:rsidRDefault="00F542BD" w:rsidP="00F542BD">
        <w:pPr>
          <w:pStyle w:val="Pieddepage"/>
          <w:jc w:val="right"/>
          <w:rPr>
            <w:rFonts w:ascii="Verdana" w:hAnsi="Verdana"/>
            <w:sz w:val="64"/>
            <w:szCs w:val="64"/>
          </w:rPr>
        </w:pPr>
        <w:r w:rsidRPr="00F542BD">
          <w:rPr>
            <w:rFonts w:ascii="Verdana" w:hAnsi="Verdana"/>
            <w:sz w:val="64"/>
            <w:szCs w:val="64"/>
          </w:rPr>
          <w:fldChar w:fldCharType="begin"/>
        </w:r>
        <w:r w:rsidRPr="00F542BD">
          <w:rPr>
            <w:rFonts w:ascii="Verdana" w:hAnsi="Verdana"/>
            <w:sz w:val="64"/>
            <w:szCs w:val="64"/>
          </w:rPr>
          <w:instrText>PAGE   \* MERGEFORMAT</w:instrText>
        </w:r>
        <w:r w:rsidRPr="00F542BD">
          <w:rPr>
            <w:rFonts w:ascii="Verdana" w:hAnsi="Verdana"/>
            <w:sz w:val="64"/>
            <w:szCs w:val="64"/>
          </w:rPr>
          <w:fldChar w:fldCharType="separate"/>
        </w:r>
        <w:r w:rsidR="002B621F">
          <w:rPr>
            <w:rFonts w:ascii="Verdana" w:hAnsi="Verdana"/>
            <w:noProof/>
            <w:sz w:val="64"/>
            <w:szCs w:val="64"/>
          </w:rPr>
          <w:t>10</w:t>
        </w:r>
        <w:r w:rsidRPr="00F542BD">
          <w:rPr>
            <w:rFonts w:ascii="Verdana" w:hAnsi="Verdana"/>
            <w:sz w:val="64"/>
            <w:szCs w:val="6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BD" w:rsidRDefault="008B27BD" w:rsidP="00F542BD">
      <w:pPr>
        <w:spacing w:after="0" w:line="240" w:lineRule="auto"/>
      </w:pPr>
      <w:r>
        <w:separator/>
      </w:r>
    </w:p>
  </w:footnote>
  <w:footnote w:type="continuationSeparator" w:id="0">
    <w:p w:rsidR="008B27BD" w:rsidRDefault="008B27BD" w:rsidP="00F54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2"/>
    <w:rsid w:val="00030100"/>
    <w:rsid w:val="00105752"/>
    <w:rsid w:val="00115032"/>
    <w:rsid w:val="001212C7"/>
    <w:rsid w:val="0027578A"/>
    <w:rsid w:val="00294CC4"/>
    <w:rsid w:val="002B621F"/>
    <w:rsid w:val="00304DF6"/>
    <w:rsid w:val="00326270"/>
    <w:rsid w:val="00383354"/>
    <w:rsid w:val="003A5A19"/>
    <w:rsid w:val="004D17AC"/>
    <w:rsid w:val="004F1747"/>
    <w:rsid w:val="007506DD"/>
    <w:rsid w:val="0076555E"/>
    <w:rsid w:val="007945CD"/>
    <w:rsid w:val="007A02A3"/>
    <w:rsid w:val="008205C8"/>
    <w:rsid w:val="008B27BD"/>
    <w:rsid w:val="00946031"/>
    <w:rsid w:val="00952668"/>
    <w:rsid w:val="00981168"/>
    <w:rsid w:val="009D1CC7"/>
    <w:rsid w:val="00A259CB"/>
    <w:rsid w:val="00BC7C06"/>
    <w:rsid w:val="00BF314B"/>
    <w:rsid w:val="00BF5E23"/>
    <w:rsid w:val="00C04862"/>
    <w:rsid w:val="00D321C2"/>
    <w:rsid w:val="00D45B62"/>
    <w:rsid w:val="00D75FBE"/>
    <w:rsid w:val="00E43C58"/>
    <w:rsid w:val="00E84204"/>
    <w:rsid w:val="00E94FFD"/>
    <w:rsid w:val="00EF51A0"/>
    <w:rsid w:val="00F24446"/>
    <w:rsid w:val="00F448CB"/>
    <w:rsid w:val="00F542BD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F3E5-44C3-4BE9-BA17-94D67D9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2BD"/>
  </w:style>
  <w:style w:type="paragraph" w:styleId="Pieddepage">
    <w:name w:val="footer"/>
    <w:basedOn w:val="Normal"/>
    <w:link w:val="PieddepageCar"/>
    <w:uiPriority w:val="99"/>
    <w:unhideWhenUsed/>
    <w:rsid w:val="00F5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C7B9-589E-4B56-8A6E-14D498B8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269</TotalTime>
  <Pages>10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25</cp:revision>
  <dcterms:created xsi:type="dcterms:W3CDTF">2017-10-04T05:39:00Z</dcterms:created>
  <dcterms:modified xsi:type="dcterms:W3CDTF">2018-03-22T07:49:00Z</dcterms:modified>
</cp:coreProperties>
</file>