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C7D" w:rsidRPr="00FF18DC" w:rsidRDefault="0039022A" w:rsidP="008203D2">
      <w:pPr>
        <w:pStyle w:val="Default"/>
        <w:spacing w:line="192" w:lineRule="auto"/>
        <w:ind w:left="1843"/>
        <w:jc w:val="center"/>
        <w:rPr>
          <w:rStyle w:val="Aucun"/>
          <w:b/>
          <w:sz w:val="44"/>
          <w:szCs w:val="44"/>
        </w:rPr>
      </w:pPr>
      <w:bookmarkStart w:id="0" w:name="_GoBack"/>
      <w:bookmarkEnd w:id="0"/>
      <w:r w:rsidRPr="00C95379">
        <w:rPr>
          <w:rFonts w:ascii="Times New Roman" w:hAnsi="Times New Roman"/>
          <w:noProof/>
          <w:sz w:val="40"/>
          <w:szCs w:val="40"/>
        </w:rPr>
        <w:drawing>
          <wp:anchor distT="36576" distB="36576" distL="36576" distR="36576" simplePos="0" relativeHeight="251659264" behindDoc="0" locked="0" layoutInCell="1" allowOverlap="1" wp14:anchorId="6B042728" wp14:editId="195F2CE2">
            <wp:simplePos x="0" y="0"/>
            <wp:positionH relativeFrom="column">
              <wp:posOffset>-308092</wp:posOffset>
            </wp:positionH>
            <wp:positionV relativeFrom="paragraph">
              <wp:posOffset>-237874</wp:posOffset>
            </wp:positionV>
            <wp:extent cx="612742" cy="1063256"/>
            <wp:effectExtent l="0" t="0" r="0" b="0"/>
            <wp:wrapNone/>
            <wp:docPr id="1" name="Image 1" descr="Cfdt_O_V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dt_O_V_RV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5374" cy="10678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9022A">
        <w:rPr>
          <w:b/>
          <w:sz w:val="36"/>
          <w:szCs w:val="36"/>
        </w:rPr>
        <w:t xml:space="preserve"> </w:t>
      </w:r>
      <w:r w:rsidR="006D2C7D" w:rsidRPr="00FF18DC">
        <w:rPr>
          <w:rStyle w:val="Aucun"/>
          <w:b/>
          <w:sz w:val="44"/>
          <w:szCs w:val="44"/>
        </w:rPr>
        <w:t>Agents contractuels</w:t>
      </w:r>
    </w:p>
    <w:p w:rsidR="00EC4130" w:rsidRPr="008203D2" w:rsidRDefault="006D2C7D" w:rsidP="008203D2">
      <w:pPr>
        <w:pStyle w:val="Default"/>
        <w:spacing w:after="240" w:line="192" w:lineRule="auto"/>
        <w:ind w:left="1843"/>
        <w:jc w:val="center"/>
        <w:rPr>
          <w:rStyle w:val="Aucun"/>
          <w:sz w:val="44"/>
          <w:szCs w:val="44"/>
        </w:rPr>
      </w:pPr>
      <w:r w:rsidRPr="00FF18DC">
        <w:rPr>
          <w:b/>
          <w:noProof/>
          <w:sz w:val="44"/>
          <w:szCs w:val="44"/>
        </w:rPr>
        <mc:AlternateContent>
          <mc:Choice Requires="wps">
            <w:drawing>
              <wp:anchor distT="0" distB="0" distL="114300" distR="114300" simplePos="0" relativeHeight="251660288" behindDoc="0" locked="0" layoutInCell="1" allowOverlap="1" wp14:anchorId="2E45F5EC" wp14:editId="4CF81E0C">
                <wp:simplePos x="0" y="0"/>
                <wp:positionH relativeFrom="column">
                  <wp:posOffset>322137</wp:posOffset>
                </wp:positionH>
                <wp:positionV relativeFrom="paragraph">
                  <wp:posOffset>406518</wp:posOffset>
                </wp:positionV>
                <wp:extent cx="45719" cy="472086"/>
                <wp:effectExtent l="0" t="0" r="12065" b="23495"/>
                <wp:wrapNone/>
                <wp:docPr id="5" name="Demi-cadre 5"/>
                <wp:cNvGraphicFramePr/>
                <a:graphic xmlns:a="http://schemas.openxmlformats.org/drawingml/2006/main">
                  <a:graphicData uri="http://schemas.microsoft.com/office/word/2010/wordprocessingShape">
                    <wps:wsp>
                      <wps:cNvSpPr/>
                      <wps:spPr>
                        <a:xfrm>
                          <a:off x="0" y="0"/>
                          <a:ext cx="45719" cy="472086"/>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77CD5" id="Demi-cadre 5" o:spid="_x0000_s1026" style="position:absolute;margin-left:25.35pt;margin-top:32pt;width:3.6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19,47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" path="m,l45719,,44243,15240r-29003,l15240,314726,,472086,,xe" fillcolor="#4f81bd [3204]" strokecolor="#243f60 [1604]" strokeweight="2pt">
                <v:path arrowok="t" o:connecttype="custom" o:connectlocs="0,0;45719,0;44243,15240;15240,15240;15240,314726;0,472086;0,0" o:connectangles="0,0,0,0,0,0,0"/>
              </v:shape>
            </w:pict>
          </mc:Fallback>
        </mc:AlternateContent>
      </w:r>
      <w:r w:rsidRPr="00FF18DC">
        <w:rPr>
          <w:rStyle w:val="Aucun"/>
          <w:b/>
          <w:sz w:val="44"/>
          <w:szCs w:val="44"/>
        </w:rPr>
        <w:t xml:space="preserve"> Les revendications de la CFDT</w:t>
      </w:r>
    </w:p>
    <w:p w:rsidR="0046151C" w:rsidRPr="0046151C" w:rsidRDefault="0046151C" w:rsidP="0056129E">
      <w:pPr>
        <w:pStyle w:val="Corps"/>
        <w:spacing w:after="0"/>
        <w:ind w:left="709"/>
        <w:jc w:val="both"/>
        <w:rPr>
          <w:rStyle w:val="Aucun"/>
          <w:rFonts w:ascii="Arial" w:hAnsi="Arial" w:cs="Arial"/>
          <w:bCs/>
          <w:sz w:val="20"/>
          <w:szCs w:val="20"/>
        </w:rPr>
      </w:pPr>
      <w:r w:rsidRPr="0046151C">
        <w:rPr>
          <w:rStyle w:val="Aucun"/>
          <w:rFonts w:ascii="Arial" w:hAnsi="Arial" w:cs="Arial"/>
          <w:bCs/>
          <w:sz w:val="20"/>
          <w:szCs w:val="20"/>
        </w:rPr>
        <w:t>Le gouvernement lance un chantier de concertations visant à élaborer un « </w:t>
      </w:r>
      <w:r w:rsidRPr="0046151C">
        <w:rPr>
          <w:rStyle w:val="Aucun"/>
          <w:rFonts w:ascii="Arial" w:hAnsi="Arial" w:cs="Arial"/>
          <w:bCs/>
          <w:i/>
          <w:sz w:val="20"/>
          <w:szCs w:val="20"/>
        </w:rPr>
        <w:t>nouveau contrat social avec les agents publics</w:t>
      </w:r>
      <w:r w:rsidRPr="0046151C">
        <w:rPr>
          <w:rStyle w:val="Aucun"/>
          <w:rFonts w:ascii="Arial" w:hAnsi="Arial" w:cs="Arial"/>
          <w:bCs/>
          <w:sz w:val="20"/>
          <w:szCs w:val="20"/>
        </w:rPr>
        <w:t> » articulé autour de quatre axes.</w:t>
      </w:r>
    </w:p>
    <w:p w:rsidR="00BE2401" w:rsidRPr="0046151C" w:rsidRDefault="0046151C" w:rsidP="0056129E">
      <w:pPr>
        <w:pStyle w:val="Corps"/>
        <w:spacing w:after="180"/>
        <w:ind w:left="709"/>
        <w:jc w:val="both"/>
        <w:rPr>
          <w:rFonts w:ascii="Arial" w:hAnsi="Arial" w:cs="Arial"/>
          <w:bCs/>
          <w:sz w:val="20"/>
          <w:szCs w:val="20"/>
        </w:rPr>
      </w:pPr>
      <w:r w:rsidRPr="0046151C">
        <w:rPr>
          <w:rStyle w:val="Aucun"/>
          <w:rFonts w:ascii="Arial" w:hAnsi="Arial" w:cs="Arial"/>
          <w:bCs/>
          <w:sz w:val="20"/>
          <w:szCs w:val="20"/>
        </w:rPr>
        <w:t xml:space="preserve">L’un d’entre eux porte sur </w:t>
      </w:r>
      <w:r w:rsidRPr="00AC0F33">
        <w:rPr>
          <w:rStyle w:val="Aucun"/>
          <w:rFonts w:ascii="Arial" w:hAnsi="Arial" w:cs="Arial"/>
          <w:bCs/>
          <w:i/>
          <w:sz w:val="20"/>
          <w:szCs w:val="20"/>
        </w:rPr>
        <w:t>« l’élargissement du recours aux contractuels »</w:t>
      </w:r>
      <w:r w:rsidRPr="0046151C">
        <w:rPr>
          <w:rStyle w:val="Aucun"/>
          <w:rFonts w:ascii="Arial" w:hAnsi="Arial" w:cs="Arial"/>
          <w:bCs/>
          <w:sz w:val="20"/>
          <w:szCs w:val="20"/>
        </w:rPr>
        <w:t>.</w:t>
      </w:r>
    </w:p>
    <w:p w:rsidR="0046151C" w:rsidRPr="0046151C" w:rsidRDefault="0046151C" w:rsidP="0046151C">
      <w:pPr>
        <w:pStyle w:val="Corps"/>
        <w:spacing w:after="80" w:line="240" w:lineRule="auto"/>
        <w:ind w:left="426"/>
        <w:jc w:val="both"/>
        <w:rPr>
          <w:rFonts w:ascii="Arial" w:hAnsi="Arial" w:cs="Arial"/>
          <w:sz w:val="20"/>
          <w:szCs w:val="20"/>
        </w:rPr>
      </w:pPr>
      <w:r w:rsidRPr="0046151C">
        <w:rPr>
          <w:rFonts w:ascii="Arial" w:hAnsi="Arial" w:cs="Arial"/>
          <w:sz w:val="20"/>
          <w:szCs w:val="20"/>
        </w:rPr>
        <w:t xml:space="preserve">La CFDT, comme les autres signataires du protocole PPCR a réaffirmé son attachement aux valeurs et aux droits et obligations portés par le statut des fonctionnaires, qui sont au cœur du modèle républicain. </w:t>
      </w:r>
    </w:p>
    <w:p w:rsidR="0046151C" w:rsidRPr="0046151C" w:rsidRDefault="0046151C" w:rsidP="0046151C">
      <w:pPr>
        <w:pStyle w:val="Corps"/>
        <w:spacing w:after="80" w:line="240" w:lineRule="auto"/>
        <w:ind w:left="426"/>
        <w:jc w:val="both"/>
        <w:rPr>
          <w:rFonts w:ascii="Arial" w:hAnsi="Arial" w:cs="Arial"/>
          <w:sz w:val="20"/>
          <w:szCs w:val="20"/>
        </w:rPr>
      </w:pPr>
      <w:r w:rsidRPr="0046151C">
        <w:rPr>
          <w:rFonts w:ascii="Arial" w:hAnsi="Arial" w:cs="Arial"/>
          <w:sz w:val="20"/>
          <w:szCs w:val="20"/>
        </w:rPr>
        <w:t xml:space="preserve">Les obligations d’impartialité, de neutralité et de probité des fonctionnaires, le respect du principe de laïcité ainsi que la nécessaire continuité du service public et sa mutabilité, constituent les fondements de la </w:t>
      </w:r>
      <w:r w:rsidR="005124A0">
        <w:rPr>
          <w:rFonts w:ascii="Arial" w:hAnsi="Arial" w:cs="Arial"/>
          <w:sz w:val="20"/>
          <w:szCs w:val="20"/>
        </w:rPr>
        <w:t>Fonction</w:t>
      </w:r>
      <w:r w:rsidRPr="0046151C">
        <w:rPr>
          <w:rFonts w:ascii="Arial" w:hAnsi="Arial" w:cs="Arial"/>
          <w:sz w:val="20"/>
          <w:szCs w:val="20"/>
        </w:rPr>
        <w:t xml:space="preserve"> publique de carrière. </w:t>
      </w:r>
    </w:p>
    <w:p w:rsidR="0046151C" w:rsidRPr="00B91022" w:rsidRDefault="0046151C" w:rsidP="0046151C">
      <w:pPr>
        <w:pStyle w:val="Corps"/>
        <w:spacing w:after="80" w:line="240" w:lineRule="auto"/>
        <w:ind w:left="426"/>
        <w:jc w:val="both"/>
        <w:rPr>
          <w:rStyle w:val="Aucun"/>
          <w:bCs/>
          <w:sz w:val="20"/>
          <w:szCs w:val="20"/>
        </w:rPr>
      </w:pPr>
      <w:r w:rsidRPr="00B91022">
        <w:rPr>
          <w:rFonts w:ascii="Arial" w:hAnsi="Arial" w:cs="Arial"/>
          <w:color w:val="FF9900"/>
          <w:sz w:val="20"/>
          <w:szCs w:val="20"/>
        </w:rPr>
        <w:t>La CFDT est attachée au statut dont les principes garantissent l’accès de tous au service public et l’égalité de traitement de l’ensemble des usagers. Ils obligent les administrations publiques comme les fonctionnaires à une adaptation permanente.</w:t>
      </w:r>
    </w:p>
    <w:p w:rsidR="0046151C" w:rsidRPr="0046151C" w:rsidRDefault="0046151C" w:rsidP="0046151C">
      <w:pPr>
        <w:pStyle w:val="Corps"/>
        <w:spacing w:after="80" w:line="240" w:lineRule="auto"/>
        <w:ind w:left="426"/>
        <w:jc w:val="both"/>
        <w:rPr>
          <w:sz w:val="20"/>
          <w:szCs w:val="20"/>
        </w:rPr>
      </w:pPr>
      <w:r w:rsidRPr="0046151C">
        <w:rPr>
          <w:rFonts w:ascii="Arial" w:hAnsi="Arial" w:cs="Arial"/>
          <w:sz w:val="20"/>
          <w:szCs w:val="20"/>
        </w:rPr>
        <w:t>Mais le statut général ne saurait être source de précarité : les employeurs publics sont tenus de faire preuve d’exemplarité dans la gestion des agents contractuels, dans le respect des dispositions statutaires.</w:t>
      </w:r>
      <w:r w:rsidRPr="0046151C">
        <w:rPr>
          <w:sz w:val="20"/>
          <w:szCs w:val="20"/>
        </w:rPr>
        <w:t xml:space="preserve"> </w:t>
      </w:r>
    </w:p>
    <w:p w:rsidR="0046151C" w:rsidRPr="00B91022" w:rsidRDefault="0046151C" w:rsidP="0046151C">
      <w:pPr>
        <w:pStyle w:val="Corps"/>
        <w:spacing w:after="80" w:line="240" w:lineRule="auto"/>
        <w:ind w:left="426"/>
        <w:jc w:val="both"/>
        <w:rPr>
          <w:rFonts w:ascii="Arial" w:hAnsi="Arial" w:cs="Arial"/>
          <w:color w:val="FF9900"/>
          <w:sz w:val="20"/>
          <w:szCs w:val="20"/>
        </w:rPr>
      </w:pPr>
      <w:r w:rsidRPr="00B91022">
        <w:rPr>
          <w:rFonts w:ascii="Arial" w:hAnsi="Arial" w:cs="Arial"/>
          <w:color w:val="FF9900"/>
          <w:sz w:val="20"/>
          <w:szCs w:val="20"/>
        </w:rPr>
        <w:t>La CFDT exige que la contribution des agents contractuels au service public soit reconnue.</w:t>
      </w:r>
    </w:p>
    <w:p w:rsidR="0046151C" w:rsidRPr="0046151C" w:rsidRDefault="0046151C" w:rsidP="0046151C">
      <w:pPr>
        <w:pStyle w:val="Corps"/>
        <w:spacing w:after="80" w:line="240" w:lineRule="auto"/>
        <w:ind w:left="426"/>
        <w:jc w:val="both"/>
        <w:rPr>
          <w:rFonts w:ascii="Arial" w:hAnsi="Arial" w:cs="Arial"/>
          <w:sz w:val="20"/>
          <w:szCs w:val="20"/>
        </w:rPr>
      </w:pPr>
      <w:r w:rsidRPr="0046151C">
        <w:rPr>
          <w:rFonts w:ascii="Arial" w:hAnsi="Arial" w:cs="Arial"/>
          <w:sz w:val="20"/>
          <w:szCs w:val="20"/>
        </w:rPr>
        <w:t xml:space="preserve">C’est la raison pour laquelle la CFDT s’était pleinement engagée dans la négociation qui a débouché sur l’accord du 31 mars 2011 sur la sécurisation des parcours professionnels des contractuels, de garantir l’effectivité de leurs droits individuels et collectifs et de leur offrir des parcours professionnels sécurisés dans la </w:t>
      </w:r>
      <w:r w:rsidR="005124A0">
        <w:rPr>
          <w:rFonts w:ascii="Arial" w:hAnsi="Arial" w:cs="Arial"/>
          <w:sz w:val="20"/>
          <w:szCs w:val="20"/>
        </w:rPr>
        <w:t>Fonction</w:t>
      </w:r>
      <w:r w:rsidRPr="0046151C">
        <w:rPr>
          <w:rFonts w:ascii="Arial" w:hAnsi="Arial" w:cs="Arial"/>
          <w:sz w:val="20"/>
          <w:szCs w:val="20"/>
        </w:rPr>
        <w:t xml:space="preserve"> publique.</w:t>
      </w:r>
    </w:p>
    <w:p w:rsidR="0046151C" w:rsidRPr="0046151C" w:rsidRDefault="0046151C" w:rsidP="00830D74">
      <w:pPr>
        <w:pStyle w:val="Corps"/>
        <w:spacing w:after="120" w:line="240" w:lineRule="auto"/>
        <w:ind w:left="425"/>
        <w:jc w:val="both"/>
        <w:rPr>
          <w:rFonts w:ascii="Arial" w:hAnsi="Arial" w:cs="Arial"/>
          <w:sz w:val="20"/>
          <w:szCs w:val="20"/>
        </w:rPr>
      </w:pPr>
      <w:r w:rsidRPr="0046151C">
        <w:rPr>
          <w:rFonts w:ascii="Arial" w:hAnsi="Arial" w:cs="Arial"/>
          <w:sz w:val="20"/>
          <w:szCs w:val="20"/>
        </w:rPr>
        <w:t>Mais cet accord arrive à son terme. Il serait pertinent d’en tirer un bilan exhaustif et partagé et examiner les conséquences des modifications apportées par la loi (encadrement des cas de recours au contrat).</w:t>
      </w:r>
    </w:p>
    <w:p w:rsidR="0046151C" w:rsidRPr="0046151C" w:rsidRDefault="0046151C" w:rsidP="0046151C">
      <w:pPr>
        <w:pStyle w:val="CorpsA"/>
        <w:spacing w:after="80"/>
        <w:ind w:left="426"/>
        <w:jc w:val="center"/>
        <w:rPr>
          <w:rStyle w:val="Aucun"/>
          <w:rFonts w:ascii="Arial" w:hAnsi="Arial" w:cs="Arial"/>
          <w:b/>
          <w:bCs/>
          <w:sz w:val="24"/>
          <w:szCs w:val="24"/>
        </w:rPr>
      </w:pPr>
      <w:r w:rsidRPr="0046151C">
        <w:rPr>
          <w:rStyle w:val="Aucun"/>
          <w:rFonts w:ascii="Arial" w:hAnsi="Arial" w:cs="Arial"/>
          <w:b/>
          <w:bCs/>
          <w:sz w:val="24"/>
          <w:szCs w:val="24"/>
        </w:rPr>
        <w:t>Aujourd’hui, que voulons-nous ?</w:t>
      </w:r>
    </w:p>
    <w:p w:rsidR="0046151C" w:rsidRPr="008203D2" w:rsidRDefault="0046151C" w:rsidP="008203D2">
      <w:pPr>
        <w:pStyle w:val="CorpsA"/>
        <w:numPr>
          <w:ilvl w:val="0"/>
          <w:numId w:val="14"/>
        </w:numPr>
        <w:tabs>
          <w:tab w:val="left" w:pos="567"/>
        </w:tabs>
        <w:spacing w:after="40"/>
        <w:ind w:left="426" w:hanging="12"/>
        <w:jc w:val="both"/>
        <w:rPr>
          <w:rStyle w:val="Aucun"/>
          <w:rFonts w:ascii="Arial" w:hAnsi="Arial" w:cs="Arial"/>
          <w:color w:val="FF9900"/>
          <w:sz w:val="20"/>
          <w:szCs w:val="20"/>
          <w:u w:color="FF3333"/>
        </w:rPr>
      </w:pPr>
      <w:r w:rsidRPr="008203D2">
        <w:rPr>
          <w:rStyle w:val="Aucun"/>
          <w:rFonts w:ascii="Arial" w:hAnsi="Arial" w:cs="Arial"/>
          <w:color w:val="auto"/>
          <w:sz w:val="20"/>
          <w:szCs w:val="20"/>
          <w:u w:color="FF3333"/>
        </w:rPr>
        <w:t xml:space="preserve">Que cesse le recours aux contractuels quand il est déjà possible de recruter des titulaires sans concours ! Que les ouvertures de concours soient plus nombreuses et plus régulières, pour couvrir tous les besoins permanents de la </w:t>
      </w:r>
      <w:r w:rsidR="005124A0">
        <w:rPr>
          <w:rStyle w:val="Aucun"/>
          <w:rFonts w:ascii="Arial" w:hAnsi="Arial" w:cs="Arial"/>
          <w:color w:val="auto"/>
          <w:sz w:val="20"/>
          <w:szCs w:val="20"/>
          <w:u w:color="FF3333"/>
        </w:rPr>
        <w:t>Fonction</w:t>
      </w:r>
      <w:r w:rsidRPr="008203D2">
        <w:rPr>
          <w:rStyle w:val="Aucun"/>
          <w:rFonts w:ascii="Arial" w:hAnsi="Arial" w:cs="Arial"/>
          <w:color w:val="auto"/>
          <w:sz w:val="20"/>
          <w:szCs w:val="20"/>
          <w:u w:color="FF3333"/>
        </w:rPr>
        <w:t xml:space="preserve"> publique.</w:t>
      </w:r>
    </w:p>
    <w:p w:rsidR="0046151C" w:rsidRPr="008203D2" w:rsidRDefault="0046151C" w:rsidP="008203D2">
      <w:pPr>
        <w:pStyle w:val="CorpsA"/>
        <w:numPr>
          <w:ilvl w:val="0"/>
          <w:numId w:val="14"/>
        </w:numPr>
        <w:tabs>
          <w:tab w:val="left" w:pos="567"/>
        </w:tabs>
        <w:spacing w:after="40"/>
        <w:ind w:left="426" w:hanging="12"/>
        <w:jc w:val="both"/>
        <w:rPr>
          <w:rStyle w:val="Aucun"/>
          <w:rFonts w:ascii="Arial" w:hAnsi="Arial" w:cs="Arial"/>
          <w:color w:val="FF9900"/>
          <w:sz w:val="20"/>
          <w:szCs w:val="20"/>
          <w:u w:color="FF3333"/>
        </w:rPr>
      </w:pPr>
      <w:bookmarkStart w:id="1" w:name="move5070825681"/>
      <w:bookmarkEnd w:id="1"/>
      <w:r w:rsidRPr="008203D2">
        <w:rPr>
          <w:rStyle w:val="Aucun"/>
          <w:rFonts w:ascii="Arial" w:hAnsi="Arial" w:cs="Arial"/>
          <w:color w:val="auto"/>
          <w:sz w:val="20"/>
          <w:szCs w:val="20"/>
          <w:u w:color="FF3333"/>
        </w:rPr>
        <w:t>Que les conditions d’emplois soient améliorées : durée minimale de travail hebdomadaire, durée des contrats… Beaucoup de contrats sont basés sur des quotités de travail à temps incomplet, ou des temps pleins fractionnés sur plusieurs « petits » contrats : ces pratiques, et d’autres, détournent l’esprit des textes et ne peuvent perdurer.</w:t>
      </w:r>
    </w:p>
    <w:p w:rsidR="0046151C" w:rsidRPr="008203D2" w:rsidRDefault="0046151C" w:rsidP="008203D2">
      <w:pPr>
        <w:pStyle w:val="CorpsA"/>
        <w:numPr>
          <w:ilvl w:val="0"/>
          <w:numId w:val="14"/>
        </w:numPr>
        <w:tabs>
          <w:tab w:val="left" w:pos="567"/>
        </w:tabs>
        <w:spacing w:after="40"/>
        <w:ind w:left="426" w:hanging="12"/>
        <w:jc w:val="both"/>
        <w:rPr>
          <w:rStyle w:val="Aucun"/>
          <w:rFonts w:ascii="Arial" w:hAnsi="Arial" w:cs="Arial"/>
          <w:color w:val="FF9900"/>
          <w:sz w:val="20"/>
          <w:szCs w:val="20"/>
          <w:u w:color="FF3333"/>
        </w:rPr>
      </w:pPr>
      <w:bookmarkStart w:id="2" w:name="move5070825761"/>
      <w:bookmarkEnd w:id="2"/>
      <w:r w:rsidRPr="008203D2">
        <w:rPr>
          <w:rStyle w:val="Aucun"/>
          <w:rFonts w:ascii="Arial" w:hAnsi="Arial" w:cs="Arial"/>
          <w:color w:val="auto"/>
          <w:sz w:val="20"/>
          <w:szCs w:val="20"/>
          <w:u w:color="FF3333"/>
        </w:rPr>
        <w:t>Que les contrats courts soient limités et leur renouvellement encadré.</w:t>
      </w:r>
    </w:p>
    <w:p w:rsidR="0046151C" w:rsidRPr="008203D2" w:rsidRDefault="0046151C" w:rsidP="008203D2">
      <w:pPr>
        <w:pStyle w:val="CorpsA"/>
        <w:numPr>
          <w:ilvl w:val="0"/>
          <w:numId w:val="14"/>
        </w:numPr>
        <w:tabs>
          <w:tab w:val="left" w:pos="567"/>
        </w:tabs>
        <w:spacing w:after="40"/>
        <w:ind w:left="426" w:hanging="12"/>
        <w:jc w:val="both"/>
        <w:rPr>
          <w:rStyle w:val="Aucun"/>
          <w:rFonts w:ascii="Arial" w:hAnsi="Arial" w:cs="Arial"/>
          <w:color w:val="FF9900"/>
          <w:sz w:val="20"/>
          <w:szCs w:val="20"/>
          <w:u w:color="FF3333"/>
        </w:rPr>
      </w:pPr>
      <w:r w:rsidRPr="008203D2">
        <w:rPr>
          <w:rStyle w:val="Aucun"/>
          <w:rFonts w:ascii="Arial" w:hAnsi="Arial" w:cs="Arial"/>
          <w:color w:val="auto"/>
          <w:sz w:val="20"/>
          <w:szCs w:val="20"/>
          <w:u w:color="FF3333"/>
        </w:rPr>
        <w:t>Pour les contractuels en CDD, faciliter l’accès au CDI et à l’emploi titulaire : un concours est-il systématiquement nécessaire pour des agents publics qui ont plusieurs années d’ancienneté ? Les conditions d’accès à l’emploi titulaire doivent être revues pour être attractives, notamment pour les contractuels des établissements dérogatoires (CROUS, Agences de l’eau…).</w:t>
      </w:r>
    </w:p>
    <w:p w:rsidR="0046151C" w:rsidRPr="008203D2" w:rsidRDefault="0046151C" w:rsidP="008203D2">
      <w:pPr>
        <w:pStyle w:val="CorpsA"/>
        <w:numPr>
          <w:ilvl w:val="0"/>
          <w:numId w:val="14"/>
        </w:numPr>
        <w:tabs>
          <w:tab w:val="left" w:pos="567"/>
        </w:tabs>
        <w:spacing w:after="40"/>
        <w:ind w:left="426" w:hanging="12"/>
        <w:jc w:val="both"/>
        <w:rPr>
          <w:rStyle w:val="Aucun"/>
          <w:rFonts w:ascii="Arial" w:hAnsi="Arial" w:cs="Arial"/>
          <w:color w:val="FF9900"/>
          <w:sz w:val="20"/>
          <w:szCs w:val="20"/>
          <w:u w:color="FF3333"/>
        </w:rPr>
      </w:pPr>
      <w:r w:rsidRPr="008203D2">
        <w:rPr>
          <w:rStyle w:val="Aucun"/>
          <w:rFonts w:ascii="Arial" w:hAnsi="Arial" w:cs="Arial"/>
          <w:color w:val="auto"/>
          <w:sz w:val="20"/>
          <w:szCs w:val="20"/>
          <w:u w:color="FF3333"/>
        </w:rPr>
        <w:t>Pour les contractuels en CDI, la définition d’une politique d’évolution de leur rémunération, un vrai déroulement de carrière par niveau hiérarchique, assortis d’un cadre de gestion qui pourrait être commun à l’ensemble de la Fonction publique.</w:t>
      </w:r>
    </w:p>
    <w:p w:rsidR="0046151C" w:rsidRPr="008203D2" w:rsidRDefault="0046151C" w:rsidP="008203D2">
      <w:pPr>
        <w:pStyle w:val="CorpsA"/>
        <w:numPr>
          <w:ilvl w:val="0"/>
          <w:numId w:val="14"/>
        </w:numPr>
        <w:tabs>
          <w:tab w:val="left" w:pos="567"/>
        </w:tabs>
        <w:spacing w:after="40"/>
        <w:ind w:left="426" w:hanging="12"/>
        <w:jc w:val="both"/>
        <w:rPr>
          <w:rStyle w:val="Aucun"/>
          <w:rFonts w:ascii="Arial" w:hAnsi="Arial" w:cs="Arial"/>
          <w:color w:val="FF9900"/>
          <w:sz w:val="20"/>
          <w:szCs w:val="20"/>
          <w:u w:color="FF3333"/>
        </w:rPr>
      </w:pPr>
      <w:r w:rsidRPr="008203D2">
        <w:rPr>
          <w:rStyle w:val="Aucun"/>
          <w:rFonts w:ascii="Arial" w:hAnsi="Arial" w:cs="Arial"/>
          <w:color w:val="auto"/>
          <w:sz w:val="20"/>
          <w:szCs w:val="20"/>
          <w:u w:color="FF3333"/>
        </w:rPr>
        <w:t xml:space="preserve">Que les contractuels de toutes catégories en CDI puissent bénéficier d’une vraie mobilité et d’une réelle portabilité de leur contrat, avec la sécurisation de leur parcours professionnel au sein des </w:t>
      </w:r>
      <w:r w:rsidR="005124A0">
        <w:rPr>
          <w:rStyle w:val="Aucun"/>
          <w:rFonts w:ascii="Arial" w:hAnsi="Arial" w:cs="Arial"/>
          <w:color w:val="auto"/>
          <w:sz w:val="20"/>
          <w:szCs w:val="20"/>
          <w:u w:color="FF3333"/>
        </w:rPr>
        <w:t>Fonction</w:t>
      </w:r>
      <w:r w:rsidRPr="008203D2">
        <w:rPr>
          <w:rStyle w:val="Aucun"/>
          <w:rFonts w:ascii="Arial" w:hAnsi="Arial" w:cs="Arial"/>
          <w:color w:val="auto"/>
          <w:sz w:val="20"/>
          <w:szCs w:val="20"/>
          <w:u w:color="FF3333"/>
        </w:rPr>
        <w:t>s publiques.</w:t>
      </w:r>
    </w:p>
    <w:p w:rsidR="0046151C" w:rsidRPr="00D01BE3" w:rsidRDefault="0046151C" w:rsidP="00B91022">
      <w:pPr>
        <w:pStyle w:val="CorpsA"/>
        <w:numPr>
          <w:ilvl w:val="0"/>
          <w:numId w:val="14"/>
        </w:numPr>
        <w:tabs>
          <w:tab w:val="left" w:pos="567"/>
        </w:tabs>
        <w:spacing w:after="80"/>
        <w:ind w:left="425" w:hanging="11"/>
        <w:jc w:val="both"/>
        <w:rPr>
          <w:rStyle w:val="Aucun"/>
          <w:rFonts w:ascii="Arial" w:hAnsi="Arial" w:cs="Arial"/>
          <w:color w:val="auto"/>
          <w:sz w:val="20"/>
          <w:szCs w:val="20"/>
          <w:u w:color="FF3333"/>
        </w:rPr>
      </w:pPr>
      <w:r w:rsidRPr="00D01BE3">
        <w:rPr>
          <w:rStyle w:val="Aucun"/>
          <w:rFonts w:ascii="Arial" w:hAnsi="Arial" w:cs="Arial"/>
          <w:color w:val="auto"/>
          <w:sz w:val="20"/>
          <w:szCs w:val="20"/>
          <w:u w:color="FF3333"/>
        </w:rPr>
        <w:t>Dans tous les cas, l’accès à la protection sociale complémentaire et aux prestations d’action sociale.</w:t>
      </w:r>
      <w:bookmarkStart w:id="3" w:name="move5070825681111111"/>
      <w:bookmarkStart w:id="4" w:name="move50708256811111111"/>
      <w:bookmarkStart w:id="5" w:name="move50708257611111111"/>
      <w:bookmarkEnd w:id="3"/>
      <w:bookmarkEnd w:id="4"/>
      <w:bookmarkEnd w:id="5"/>
    </w:p>
    <w:p w:rsidR="0039022A" w:rsidRPr="008203D2" w:rsidRDefault="0046151C" w:rsidP="0046151C">
      <w:pPr>
        <w:pStyle w:val="Corps"/>
        <w:spacing w:after="80" w:line="240" w:lineRule="auto"/>
        <w:ind w:left="426"/>
        <w:jc w:val="both"/>
        <w:rPr>
          <w:rFonts w:ascii="Arial" w:hAnsi="Arial" w:cs="Arial"/>
          <w:color w:val="FF9900"/>
          <w:sz w:val="20"/>
          <w:szCs w:val="20"/>
        </w:rPr>
      </w:pPr>
      <w:r w:rsidRPr="008203D2">
        <w:rPr>
          <w:rFonts w:ascii="Arial" w:hAnsi="Arial" w:cs="Arial"/>
          <w:color w:val="FF9900"/>
          <w:sz w:val="20"/>
          <w:szCs w:val="20"/>
        </w:rPr>
        <w:t>La CFDT est aussi prête à défendre un accès moins discriminant à la Fonction publique.</w:t>
      </w:r>
    </w:p>
    <w:p w:rsidR="0046151C" w:rsidRPr="008203D2" w:rsidRDefault="0046151C" w:rsidP="008203D2">
      <w:pPr>
        <w:pStyle w:val="CorpsA"/>
        <w:numPr>
          <w:ilvl w:val="0"/>
          <w:numId w:val="14"/>
        </w:numPr>
        <w:tabs>
          <w:tab w:val="left" w:pos="567"/>
        </w:tabs>
        <w:spacing w:after="40"/>
        <w:ind w:left="426" w:hanging="12"/>
        <w:jc w:val="both"/>
        <w:rPr>
          <w:rStyle w:val="Aucun"/>
          <w:rFonts w:ascii="Arial" w:hAnsi="Arial" w:cs="Arial"/>
          <w:color w:val="auto"/>
          <w:sz w:val="20"/>
          <w:szCs w:val="20"/>
          <w:u w:color="FF3333"/>
        </w:rPr>
      </w:pPr>
      <w:r w:rsidRPr="0046151C">
        <w:rPr>
          <w:rStyle w:val="Aucun"/>
          <w:rFonts w:ascii="Arial" w:hAnsi="Arial" w:cs="Arial"/>
          <w:color w:val="auto"/>
          <w:sz w:val="20"/>
          <w:szCs w:val="20"/>
          <w:u w:color="FF3333"/>
        </w:rPr>
        <w:t>Faciliter un accès moins discriminant à la Fonction publique peut passer dans certains cas par le recours au contrat. Le contrat est une voie d’accès à la Fonction publique (personnes en situation de handicap, personnes peu ou pas diplômées, personnes éloignées de l’emploi). Pour certains, c’est le seul moyen d’accéder à un emploi public, notamment pour les personnes ne remplissant pas les conditions de nationalité.</w:t>
      </w:r>
    </w:p>
    <w:p w:rsidR="0046151C" w:rsidRPr="0046151C" w:rsidRDefault="0046151C" w:rsidP="00830D74">
      <w:pPr>
        <w:pStyle w:val="Corps"/>
        <w:spacing w:after="120" w:line="240" w:lineRule="auto"/>
        <w:ind w:left="425"/>
        <w:jc w:val="both"/>
        <w:rPr>
          <w:rFonts w:ascii="Arial" w:hAnsi="Arial" w:cs="Arial"/>
          <w:sz w:val="20"/>
          <w:szCs w:val="20"/>
        </w:rPr>
      </w:pPr>
      <w:r w:rsidRPr="0046151C">
        <w:rPr>
          <w:rFonts w:ascii="Arial" w:hAnsi="Arial" w:cs="Arial"/>
          <w:sz w:val="20"/>
          <w:szCs w:val="20"/>
        </w:rPr>
        <w:t>C’est dans ce cadre de la lutte contre les discriminations de tous ordres qui entravent l’accès à l’emploi que la CFDT est prête à s’inscrire.</w:t>
      </w:r>
    </w:p>
    <w:p w:rsidR="00EC4130" w:rsidRPr="0046151C" w:rsidRDefault="00592CD3" w:rsidP="0046151C">
      <w:pPr>
        <w:pStyle w:val="Corps"/>
        <w:ind w:left="709"/>
        <w:jc w:val="center"/>
        <w:rPr>
          <w:rFonts w:ascii="Arial" w:hAnsi="Arial" w:cs="Arial"/>
          <w:sz w:val="21"/>
          <w:szCs w:val="21"/>
        </w:rPr>
      </w:pPr>
      <w:r>
        <w:rPr>
          <w:rFonts w:ascii="Arial" w:hAnsi="Arial" w:cs="Arial"/>
          <w:noProof/>
          <w:sz w:val="23"/>
          <w:szCs w:val="23"/>
        </w:rPr>
        <w:drawing>
          <wp:inline distT="0" distB="0" distL="0" distR="0" wp14:anchorId="3202D265" wp14:editId="314E44A9">
            <wp:extent cx="2300886" cy="786978"/>
            <wp:effectExtent l="0" t="0" r="444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2018-FP2018-RVB-Horiz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0886" cy="786978"/>
                    </a:xfrm>
                    <a:prstGeom prst="rect">
                      <a:avLst/>
                    </a:prstGeom>
                  </pic:spPr>
                </pic:pic>
              </a:graphicData>
            </a:graphic>
          </wp:inline>
        </w:drawing>
      </w:r>
      <w:r w:rsidR="00E84E3C">
        <w:rPr>
          <w:noProof/>
        </w:rPr>
        <w:drawing>
          <wp:anchor distT="36576" distB="36576" distL="36576" distR="36576" simplePos="0" relativeHeight="251670528" behindDoc="0" locked="0" layoutInCell="1" allowOverlap="1" wp14:anchorId="46C68A63" wp14:editId="49B7C0DF">
            <wp:simplePos x="0" y="0"/>
            <wp:positionH relativeFrom="column">
              <wp:posOffset>-976630</wp:posOffset>
            </wp:positionH>
            <wp:positionV relativeFrom="paragraph">
              <wp:posOffset>1045210</wp:posOffset>
            </wp:positionV>
            <wp:extent cx="292100" cy="292100"/>
            <wp:effectExtent l="0" t="0" r="0" b="0"/>
            <wp:wrapNone/>
            <wp:docPr id="6" name="Image 6" descr="faceboo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EC4130" w:rsidRPr="0046151C" w:rsidSect="0046151C">
      <w:pgSz w:w="11906" w:h="16838"/>
      <w:pgMar w:top="964" w:right="907"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0265_"/>
      </v:shape>
    </w:pict>
  </w:numPicBullet>
  <w:numPicBullet w:numPicBulletId="1">
    <w:pict>
      <v:shape id="_x0000_i1029" type="#_x0000_t75" style="width:171.75pt;height:169.5pt" o:bullet="t">
        <v:imagedata r:id="rId2" o:title="Rond_orange[1]"/>
      </v:shape>
    </w:pict>
  </w:numPicBullet>
  <w:abstractNum w:abstractNumId="0" w15:restartNumberingAfterBreak="0">
    <w:nsid w:val="0DA80E6F"/>
    <w:multiLevelType w:val="hybridMultilevel"/>
    <w:tmpl w:val="D18CA214"/>
    <w:numStyleLink w:val="Style1import"/>
  </w:abstractNum>
  <w:abstractNum w:abstractNumId="1" w15:restartNumberingAfterBreak="0">
    <w:nsid w:val="17EE364E"/>
    <w:multiLevelType w:val="hybridMultilevel"/>
    <w:tmpl w:val="F74E24DC"/>
    <w:lvl w:ilvl="0" w:tplc="0D92084A">
      <w:start w:val="1"/>
      <w:numFmt w:val="bullet"/>
      <w:lvlText w:val=""/>
      <w:lvlPicBulletId w:val="1"/>
      <w:lvlJc w:val="left"/>
      <w:pPr>
        <w:ind w:left="1146" w:hanging="360"/>
      </w:pPr>
      <w:rPr>
        <w:rFonts w:ascii="Symbol" w:hAnsi="Symbol" w:hint="default"/>
        <w:color w:val="auto"/>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28B8635D"/>
    <w:multiLevelType w:val="hybridMultilevel"/>
    <w:tmpl w:val="D18CA214"/>
    <w:numStyleLink w:val="Style1import"/>
  </w:abstractNum>
  <w:abstractNum w:abstractNumId="3" w15:restartNumberingAfterBreak="0">
    <w:nsid w:val="46A560F6"/>
    <w:multiLevelType w:val="hybridMultilevel"/>
    <w:tmpl w:val="19DC62CC"/>
    <w:styleLink w:val="Tiret"/>
    <w:lvl w:ilvl="0" w:tplc="AC78FFBA">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1E4970">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06387C">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B086D2">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70D88A">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C9D6">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7CC4C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B26980">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922FF6">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C08143C"/>
    <w:multiLevelType w:val="hybridMultilevel"/>
    <w:tmpl w:val="E406420C"/>
    <w:lvl w:ilvl="0" w:tplc="19A4ED3A">
      <w:start w:val="1"/>
      <w:numFmt w:val="bullet"/>
      <w:lvlText w:val=""/>
      <w:lvlJc w:val="left"/>
      <w:pPr>
        <w:ind w:left="1146" w:hanging="360"/>
      </w:pPr>
      <w:rPr>
        <w:rFonts w:ascii="Symbol" w:hAnsi="Symbol" w:hint="default"/>
        <w:color w:val="FF9900"/>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566648A2"/>
    <w:multiLevelType w:val="hybridMultilevel"/>
    <w:tmpl w:val="8AE02830"/>
    <w:lvl w:ilvl="0" w:tplc="040C0005">
      <w:start w:val="1"/>
      <w:numFmt w:val="bullet"/>
      <w:lvlText w:val=""/>
      <w:lvlJc w:val="left"/>
      <w:pPr>
        <w:ind w:left="1146" w:hanging="360"/>
      </w:pPr>
      <w:rPr>
        <w:rFonts w:ascii="Wingdings" w:hAnsi="Wingdings" w:hint="default"/>
        <w:color w:val="auto"/>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5B244C2C"/>
    <w:multiLevelType w:val="hybridMultilevel"/>
    <w:tmpl w:val="FFEEDC5C"/>
    <w:lvl w:ilvl="0" w:tplc="5414E19A">
      <w:start w:val="1"/>
      <w:numFmt w:val="bullet"/>
      <w:lvlText w:val=""/>
      <w:lvlPicBulletId w:val="0"/>
      <w:lvlJc w:val="left"/>
      <w:pPr>
        <w:ind w:left="1288"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025A3A">
      <w:start w:val="1"/>
      <w:numFmt w:val="bullet"/>
      <w:lvlText w:val="o"/>
      <w:lvlJc w:val="left"/>
      <w:pPr>
        <w:ind w:left="20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E05374">
      <w:start w:val="1"/>
      <w:numFmt w:val="bullet"/>
      <w:lvlText w:val="▪"/>
      <w:lvlJc w:val="left"/>
      <w:pPr>
        <w:ind w:left="27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7260F0">
      <w:start w:val="1"/>
      <w:numFmt w:val="bullet"/>
      <w:lvlText w:val="·"/>
      <w:lvlJc w:val="left"/>
      <w:pPr>
        <w:ind w:left="34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34652E">
      <w:start w:val="1"/>
      <w:numFmt w:val="bullet"/>
      <w:lvlText w:val="o"/>
      <w:lvlJc w:val="left"/>
      <w:pPr>
        <w:ind w:left="41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3C62DA">
      <w:start w:val="1"/>
      <w:numFmt w:val="bullet"/>
      <w:lvlText w:val="▪"/>
      <w:lvlJc w:val="left"/>
      <w:pPr>
        <w:ind w:left="48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1A9630">
      <w:start w:val="1"/>
      <w:numFmt w:val="bullet"/>
      <w:lvlText w:val="·"/>
      <w:lvlJc w:val="left"/>
      <w:pPr>
        <w:ind w:left="560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E603FE">
      <w:start w:val="1"/>
      <w:numFmt w:val="bullet"/>
      <w:lvlText w:val="o"/>
      <w:lvlJc w:val="left"/>
      <w:pPr>
        <w:ind w:left="63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C6B078">
      <w:start w:val="1"/>
      <w:numFmt w:val="bullet"/>
      <w:lvlText w:val="▪"/>
      <w:lvlJc w:val="left"/>
      <w:pPr>
        <w:ind w:left="70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E8550B9"/>
    <w:multiLevelType w:val="hybridMultilevel"/>
    <w:tmpl w:val="19DC62CC"/>
    <w:numStyleLink w:val="Tiret"/>
  </w:abstractNum>
  <w:abstractNum w:abstractNumId="8" w15:restartNumberingAfterBreak="0">
    <w:nsid w:val="60E049B1"/>
    <w:multiLevelType w:val="hybridMultilevel"/>
    <w:tmpl w:val="59C4307A"/>
    <w:numStyleLink w:val="Style2import"/>
  </w:abstractNum>
  <w:abstractNum w:abstractNumId="9" w15:restartNumberingAfterBreak="0">
    <w:nsid w:val="650E0B85"/>
    <w:multiLevelType w:val="hybridMultilevel"/>
    <w:tmpl w:val="188AB3C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6A441373"/>
    <w:multiLevelType w:val="hybridMultilevel"/>
    <w:tmpl w:val="D18CA214"/>
    <w:styleLink w:val="Style1import"/>
    <w:lvl w:ilvl="0" w:tplc="563228F0">
      <w:start w:val="1"/>
      <w:numFmt w:val="bullet"/>
      <w:lvlText w:val="·"/>
      <w:lvlJc w:val="left"/>
      <w:pPr>
        <w:ind w:left="7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50D36E">
      <w:start w:val="1"/>
      <w:numFmt w:val="bullet"/>
      <w:lvlText w:val="o"/>
      <w:lvlJc w:val="left"/>
      <w:pPr>
        <w:ind w:left="1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0E7294">
      <w:start w:val="1"/>
      <w:numFmt w:val="bullet"/>
      <w:lvlText w:val="▪"/>
      <w:lvlJc w:val="left"/>
      <w:pPr>
        <w:ind w:left="22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F69414">
      <w:start w:val="1"/>
      <w:numFmt w:val="bullet"/>
      <w:lvlText w:val="·"/>
      <w:lvlJc w:val="left"/>
      <w:pPr>
        <w:ind w:left="29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728496">
      <w:start w:val="1"/>
      <w:numFmt w:val="bullet"/>
      <w:lvlText w:val="o"/>
      <w:lvlJc w:val="left"/>
      <w:pPr>
        <w:ind w:left="3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1062A4">
      <w:start w:val="1"/>
      <w:numFmt w:val="bullet"/>
      <w:lvlText w:val="▪"/>
      <w:lvlJc w:val="left"/>
      <w:pPr>
        <w:ind w:left="43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0A42B2">
      <w:start w:val="1"/>
      <w:numFmt w:val="bullet"/>
      <w:lvlText w:val="·"/>
      <w:lvlJc w:val="left"/>
      <w:pPr>
        <w:ind w:left="510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D465F2">
      <w:start w:val="1"/>
      <w:numFmt w:val="bullet"/>
      <w:lvlText w:val="o"/>
      <w:lvlJc w:val="left"/>
      <w:pPr>
        <w:ind w:left="5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D07778">
      <w:start w:val="1"/>
      <w:numFmt w:val="bullet"/>
      <w:lvlText w:val="▪"/>
      <w:lvlJc w:val="left"/>
      <w:pPr>
        <w:ind w:left="65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A6B6583"/>
    <w:multiLevelType w:val="hybridMultilevel"/>
    <w:tmpl w:val="59C4307A"/>
    <w:styleLink w:val="Style2import"/>
    <w:lvl w:ilvl="0" w:tplc="3502EAF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1A3D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16F4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6E35E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B0FC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5274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ECA3A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ACC5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7E8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0"/>
  </w:num>
  <w:num w:numId="3">
    <w:abstractNumId w:val="11"/>
  </w:num>
  <w:num w:numId="4">
    <w:abstractNumId w:val="8"/>
  </w:num>
  <w:num w:numId="5">
    <w:abstractNumId w:val="6"/>
  </w:num>
  <w:num w:numId="6">
    <w:abstractNumId w:val="3"/>
  </w:num>
  <w:num w:numId="7">
    <w:abstractNumId w:val="7"/>
  </w:num>
  <w:num w:numId="8">
    <w:abstractNumId w:val="7"/>
    <w:lvlOverride w:ilvl="0">
      <w:lvl w:ilvl="0" w:tplc="CE7E5C48">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89D0948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2">
      <w:lvl w:ilvl="2" w:tplc="87B2366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3">
      <w:lvl w:ilvl="3" w:tplc="ED28DCA2">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4">
      <w:lvl w:ilvl="4" w:tplc="CB9E045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5">
      <w:lvl w:ilvl="5" w:tplc="CC0C7000">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6">
      <w:lvl w:ilvl="6" w:tplc="37D0A1D0">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7">
      <w:lvl w:ilvl="7" w:tplc="47F0252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8">
      <w:lvl w:ilvl="8" w:tplc="90E2A1EE">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 w:numId="9">
    <w:abstractNumId w:val="9"/>
  </w:num>
  <w:num w:numId="10">
    <w:abstractNumId w:val="2"/>
    <w:lvlOverride w:ilvl="0">
      <w:lvl w:ilvl="0" w:tplc="51F0CD58">
        <w:start w:val="1"/>
        <w:numFmt w:val="bullet"/>
        <w:lvlText w:val="-"/>
        <w:lvlJc w:val="left"/>
        <w:pPr>
          <w:ind w:left="7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55C267FC">
        <w:start w:val="1"/>
        <w:numFmt w:val="bullet"/>
        <w:lvlText w:val="o"/>
        <w:lvlJc w:val="left"/>
        <w:pPr>
          <w:ind w:left="14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F307A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EA85B3C">
        <w:start w:val="1"/>
        <w:numFmt w:val="bullet"/>
        <w:lvlText w:val="•"/>
        <w:lvlJc w:val="left"/>
        <w:pPr>
          <w:ind w:left="28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16C558E">
        <w:start w:val="1"/>
        <w:numFmt w:val="bullet"/>
        <w:lvlText w:val="o"/>
        <w:lvlJc w:val="left"/>
        <w:pPr>
          <w:ind w:left="36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B0419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56E014">
        <w:start w:val="1"/>
        <w:numFmt w:val="bullet"/>
        <w:lvlText w:val="•"/>
        <w:lvlJc w:val="left"/>
        <w:pPr>
          <w:ind w:left="50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C7E04CC">
        <w:start w:val="1"/>
        <w:numFmt w:val="bullet"/>
        <w:lvlText w:val="o"/>
        <w:lvlJc w:val="left"/>
        <w:pPr>
          <w:ind w:left="57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5FE2F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num>
  <w:num w:numId="12">
    <w:abstractNumId w:val="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01"/>
    <w:rsid w:val="00010A00"/>
    <w:rsid w:val="00091371"/>
    <w:rsid w:val="00183A1F"/>
    <w:rsid w:val="001E4745"/>
    <w:rsid w:val="0027134E"/>
    <w:rsid w:val="00314914"/>
    <w:rsid w:val="00385DAB"/>
    <w:rsid w:val="0039022A"/>
    <w:rsid w:val="003A4E6A"/>
    <w:rsid w:val="003E133E"/>
    <w:rsid w:val="003E38EF"/>
    <w:rsid w:val="004061FB"/>
    <w:rsid w:val="0046151C"/>
    <w:rsid w:val="004960FC"/>
    <w:rsid w:val="004A19F9"/>
    <w:rsid w:val="005124A0"/>
    <w:rsid w:val="0056129E"/>
    <w:rsid w:val="00592CD3"/>
    <w:rsid w:val="005C13CC"/>
    <w:rsid w:val="005D1E67"/>
    <w:rsid w:val="006D2C7D"/>
    <w:rsid w:val="00762D9D"/>
    <w:rsid w:val="007F4019"/>
    <w:rsid w:val="008203D2"/>
    <w:rsid w:val="00830D74"/>
    <w:rsid w:val="00AB762D"/>
    <w:rsid w:val="00AC0F33"/>
    <w:rsid w:val="00B05F1C"/>
    <w:rsid w:val="00B71730"/>
    <w:rsid w:val="00B91022"/>
    <w:rsid w:val="00BE2401"/>
    <w:rsid w:val="00C95379"/>
    <w:rsid w:val="00CA3B93"/>
    <w:rsid w:val="00CB6991"/>
    <w:rsid w:val="00CE3BDA"/>
    <w:rsid w:val="00D01BE3"/>
    <w:rsid w:val="00E84E3C"/>
    <w:rsid w:val="00EC4130"/>
    <w:rsid w:val="00EE6F62"/>
    <w:rsid w:val="00F95420"/>
    <w:rsid w:val="00FA3087"/>
    <w:rsid w:val="00FF18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9033E-CE19-414C-B300-DE43DB07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413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E2401"/>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fr-FR"/>
    </w:rPr>
  </w:style>
  <w:style w:type="character" w:customStyle="1" w:styleId="Aucun">
    <w:name w:val="Aucun"/>
    <w:rsid w:val="00BE2401"/>
    <w:rPr>
      <w:lang w:val="fr-FR"/>
    </w:rPr>
  </w:style>
  <w:style w:type="paragraph" w:customStyle="1" w:styleId="Corps">
    <w:name w:val="Corps"/>
    <w:rsid w:val="00BE240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fr-FR"/>
    </w:rPr>
  </w:style>
  <w:style w:type="paragraph" w:styleId="Paragraphedeliste">
    <w:name w:val="List Paragraph"/>
    <w:rsid w:val="00BE2401"/>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eastAsia="fr-FR"/>
    </w:rPr>
  </w:style>
  <w:style w:type="numbering" w:customStyle="1" w:styleId="Style1import">
    <w:name w:val="Style 1 importé"/>
    <w:rsid w:val="00BE2401"/>
    <w:pPr>
      <w:numPr>
        <w:numId w:val="1"/>
      </w:numPr>
    </w:pPr>
  </w:style>
  <w:style w:type="character" w:customStyle="1" w:styleId="Hyperlink0">
    <w:name w:val="Hyperlink.0"/>
    <w:basedOn w:val="Aucun"/>
    <w:rsid w:val="00BE2401"/>
    <w:rPr>
      <w:rFonts w:ascii="Arial" w:eastAsia="Arial" w:hAnsi="Arial" w:cs="Arial"/>
      <w:i/>
      <w:iCs/>
      <w:sz w:val="23"/>
      <w:szCs w:val="23"/>
      <w:lang w:val="fr-FR"/>
    </w:rPr>
  </w:style>
  <w:style w:type="numbering" w:customStyle="1" w:styleId="Style2import">
    <w:name w:val="Style 2 importé"/>
    <w:rsid w:val="00BE2401"/>
    <w:pPr>
      <w:numPr>
        <w:numId w:val="3"/>
      </w:numPr>
    </w:pPr>
  </w:style>
  <w:style w:type="paragraph" w:styleId="Textedebulles">
    <w:name w:val="Balloon Text"/>
    <w:basedOn w:val="Normal"/>
    <w:link w:val="TextedebullesCar"/>
    <w:uiPriority w:val="99"/>
    <w:semiHidden/>
    <w:unhideWhenUsed/>
    <w:rsid w:val="00010A00"/>
    <w:rPr>
      <w:rFonts w:ascii="Tahoma" w:hAnsi="Tahoma" w:cs="Tahoma"/>
      <w:sz w:val="16"/>
      <w:szCs w:val="16"/>
    </w:rPr>
  </w:style>
  <w:style w:type="character" w:customStyle="1" w:styleId="TextedebullesCar">
    <w:name w:val="Texte de bulles Car"/>
    <w:basedOn w:val="Policepardfaut"/>
    <w:link w:val="Textedebulles"/>
    <w:uiPriority w:val="99"/>
    <w:semiHidden/>
    <w:rsid w:val="00010A00"/>
    <w:rPr>
      <w:rFonts w:ascii="Tahoma" w:hAnsi="Tahoma" w:cs="Tahoma"/>
      <w:sz w:val="16"/>
      <w:szCs w:val="16"/>
    </w:rPr>
  </w:style>
  <w:style w:type="character" w:styleId="Lienhypertexte">
    <w:name w:val="Hyperlink"/>
    <w:rsid w:val="00EC4130"/>
    <w:rPr>
      <w:u w:val="single"/>
    </w:rPr>
  </w:style>
  <w:style w:type="numbering" w:customStyle="1" w:styleId="Tiret">
    <w:name w:val="Tiret"/>
    <w:rsid w:val="00EC4130"/>
    <w:pPr>
      <w:numPr>
        <w:numId w:val="6"/>
      </w:numPr>
    </w:pPr>
  </w:style>
  <w:style w:type="paragraph" w:customStyle="1" w:styleId="Pardfaut">
    <w:name w:val="Par défaut"/>
    <w:rsid w:val="00EC413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En-tte">
    <w:name w:val="header"/>
    <w:link w:val="En-tteCar"/>
    <w:rsid w:val="0039022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39022A"/>
    <w:rPr>
      <w:rFonts w:ascii="Helvetica Neue" w:eastAsia="Arial Unicode MS" w:hAnsi="Helvetica Neue" w:cs="Arial Unicode MS"/>
      <w:color w:val="000000"/>
      <w:sz w:val="24"/>
      <w:szCs w:val="24"/>
      <w:bdr w:val="nil"/>
      <w:lang w:eastAsia="fr-FR"/>
    </w:rPr>
  </w:style>
  <w:style w:type="paragraph" w:customStyle="1" w:styleId="CorpsA">
    <w:name w:val="Corps A"/>
    <w:rsid w:val="0046151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fr-FR"/>
    </w:rPr>
  </w:style>
  <w:style w:type="paragraph" w:styleId="Corpsdetexte">
    <w:name w:val="Body Text"/>
    <w:link w:val="CorpsdetexteCar"/>
    <w:rsid w:val="0046151C"/>
    <w:pPr>
      <w:pBdr>
        <w:top w:val="nil"/>
        <w:left w:val="nil"/>
        <w:bottom w:val="nil"/>
        <w:right w:val="nil"/>
        <w:between w:val="nil"/>
        <w:bar w:val="nil"/>
      </w:pBdr>
      <w:spacing w:after="140" w:line="288" w:lineRule="auto"/>
    </w:pPr>
    <w:rPr>
      <w:rFonts w:ascii="Times New Roman" w:eastAsia="Arial Unicode MS" w:hAnsi="Times New Roman" w:cs="Arial Unicode MS"/>
      <w:color w:val="00000A"/>
      <w:sz w:val="24"/>
      <w:szCs w:val="24"/>
      <w:u w:color="00000A"/>
      <w:bdr w:val="nil"/>
      <w:lang w:val="en-US" w:eastAsia="fr-FR"/>
    </w:rPr>
  </w:style>
  <w:style w:type="character" w:customStyle="1" w:styleId="CorpsdetexteCar">
    <w:name w:val="Corps de texte Car"/>
    <w:basedOn w:val="Policepardfaut"/>
    <w:link w:val="Corpsdetexte"/>
    <w:rsid w:val="0046151C"/>
    <w:rPr>
      <w:rFonts w:ascii="Times New Roman" w:eastAsia="Arial Unicode MS" w:hAnsi="Times New Roman" w:cs="Arial Unicode MS"/>
      <w:color w:val="00000A"/>
      <w:sz w:val="24"/>
      <w:szCs w:val="24"/>
      <w:u w:color="00000A"/>
      <w:bdr w:val="nil"/>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www.facebook.com/cfdtfonctions.publiques.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image" Target="media/image3.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3498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CFDT SERVICES</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LECARPENTIER</dc:creator>
  <cp:lastModifiedBy>oliv sophie</cp:lastModifiedBy>
  <cp:revision>2</cp:revision>
  <cp:lastPrinted>2018-02-27T12:30:00Z</cp:lastPrinted>
  <dcterms:created xsi:type="dcterms:W3CDTF">2018-03-12T16:58:00Z</dcterms:created>
  <dcterms:modified xsi:type="dcterms:W3CDTF">2018-03-12T16:58:00Z</dcterms:modified>
</cp:coreProperties>
</file>