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17" w:rsidRDefault="00581783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PROVISEUR </w:t>
      </w:r>
      <w:r w:rsidR="00322317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adjoint </w:t>
      </w:r>
    </w:p>
    <w:p w:rsidR="00581783" w:rsidRDefault="00581783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DU LYCEE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 XXXXX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</w:t>
      </w:r>
    </w:p>
    <w:p w:rsidR="004E1B19" w:rsidRPr="004E1B19" w:rsidRDefault="00581783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6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DE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(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)</w:t>
      </w:r>
    </w:p>
    <w:p w:rsidR="009B1A61" w:rsidRDefault="009B1A61" w:rsidP="009B1A61">
      <w:pPr>
        <w:spacing w:after="0"/>
        <w:rPr>
          <w:b/>
          <w:color w:val="316757" w:themeColor="accent3" w:themeShade="80"/>
        </w:rPr>
      </w:pPr>
    </w:p>
    <w:p w:rsidR="00322317" w:rsidRDefault="00322317" w:rsidP="009B1A61">
      <w:pPr>
        <w:spacing w:after="0"/>
        <w:rPr>
          <w:b/>
          <w:color w:val="316757" w:themeColor="accent3" w:themeShade="80"/>
        </w:rPr>
      </w:pPr>
    </w:p>
    <w:p w:rsidR="00581783" w:rsidRPr="00322317" w:rsidRDefault="009B1A61" w:rsidP="009B1A61">
      <w:pPr>
        <w:spacing w:after="0"/>
        <w:rPr>
          <w:b/>
          <w:color w:val="316757" w:themeColor="accent3" w:themeShade="80"/>
          <w:sz w:val="28"/>
        </w:rPr>
      </w:pPr>
      <w:r w:rsidRPr="00322317">
        <w:rPr>
          <w:b/>
          <w:color w:val="316757" w:themeColor="accent3" w:themeShade="80"/>
          <w:sz w:val="28"/>
        </w:rPr>
        <w:t>L’ETABLISSEMENT</w:t>
      </w:r>
    </w:p>
    <w:p w:rsidR="009B1A61" w:rsidRDefault="009B1A61" w:rsidP="009B1A61">
      <w:pPr>
        <w:spacing w:after="0"/>
        <w:rPr>
          <w:b/>
        </w:rPr>
      </w:pPr>
    </w:p>
    <w:p w:rsidR="00322317" w:rsidRDefault="00322317" w:rsidP="009B1A61">
      <w:pPr>
        <w:spacing w:after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414965" w:rsidTr="004B755F">
        <w:tc>
          <w:tcPr>
            <w:tcW w:w="5267" w:type="dxa"/>
          </w:tcPr>
          <w:p w:rsidR="00414965" w:rsidRPr="009B1A61" w:rsidRDefault="00414965" w:rsidP="006505F5">
            <w:pPr>
              <w:rPr>
                <w:b/>
                <w:color w:val="316757" w:themeColor="accent3" w:themeShade="80"/>
                <w:sz w:val="24"/>
              </w:rPr>
            </w:pPr>
            <w:r w:rsidRPr="009B1A61">
              <w:rPr>
                <w:b/>
                <w:color w:val="316757" w:themeColor="accent3" w:themeShade="80"/>
                <w:sz w:val="24"/>
              </w:rPr>
              <w:t xml:space="preserve">Lycée général et technologique </w:t>
            </w:r>
            <w:r w:rsidR="0000088B">
              <w:rPr>
                <w:b/>
                <w:color w:val="316757" w:themeColor="accent3" w:themeShade="80"/>
                <w:sz w:val="24"/>
              </w:rPr>
              <w:t>XXX XXXX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0</w:t>
            </w:r>
            <w:r w:rsidR="0000088B">
              <w:rPr>
                <w:color w:val="404040" w:themeColor="text1" w:themeTint="BF"/>
              </w:rPr>
              <w:t>xx</w:t>
            </w:r>
            <w:r w:rsidRPr="00B90081">
              <w:rPr>
                <w:color w:val="404040" w:themeColor="text1" w:themeTint="BF"/>
              </w:rPr>
              <w:t>0020X - Secteur public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  <w:sz w:val="8"/>
              </w:rPr>
            </w:pP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10 place M</w:t>
            </w:r>
          </w:p>
          <w:p w:rsidR="00414965" w:rsidRPr="00B90081" w:rsidRDefault="0000088B" w:rsidP="006505F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</w:t>
            </w:r>
            <w:r w:rsidR="00414965" w:rsidRPr="00B90081">
              <w:rPr>
                <w:color w:val="404040" w:themeColor="text1" w:themeTint="BF"/>
              </w:rPr>
              <w:t xml:space="preserve">000 </w:t>
            </w:r>
            <w:r>
              <w:rPr>
                <w:color w:val="404040" w:themeColor="text1" w:themeTint="BF"/>
              </w:rPr>
              <w:t>XXXXX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Téléphone : 0</w:t>
            </w:r>
            <w:r w:rsidR="0000088B">
              <w:rPr>
                <w:color w:val="404040" w:themeColor="text1" w:themeTint="BF"/>
              </w:rPr>
              <w:t>0 00</w:t>
            </w:r>
            <w:r w:rsidRPr="00B90081">
              <w:rPr>
                <w:color w:val="404040" w:themeColor="text1" w:themeTint="BF"/>
              </w:rPr>
              <w:t xml:space="preserve"> 41 70 00</w:t>
            </w:r>
          </w:p>
          <w:p w:rsidR="00414965" w:rsidRPr="00322317" w:rsidRDefault="00414965" w:rsidP="00CA428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E-mail établissement : ce.</w:t>
            </w:r>
            <w:r w:rsidR="0000088B">
              <w:rPr>
                <w:color w:val="404040" w:themeColor="text1" w:themeTint="BF"/>
              </w:rPr>
              <w:t>xxxxxxx</w:t>
            </w:r>
            <w:r w:rsidR="00CA4285">
              <w:rPr>
                <w:color w:val="404040" w:themeColor="text1" w:themeTint="BF"/>
              </w:rPr>
              <w:t>@ac-paris</w:t>
            </w:r>
            <w:r w:rsidRPr="00B90081">
              <w:rPr>
                <w:color w:val="404040" w:themeColor="text1" w:themeTint="BF"/>
              </w:rPr>
              <w:t>.fr</w:t>
            </w:r>
          </w:p>
        </w:tc>
      </w:tr>
      <w:tr w:rsidR="00414965" w:rsidTr="004B755F">
        <w:tc>
          <w:tcPr>
            <w:tcW w:w="5267" w:type="dxa"/>
          </w:tcPr>
          <w:p w:rsidR="00414965" w:rsidRPr="009B1A61" w:rsidRDefault="00414965" w:rsidP="006505F5">
            <w:pPr>
              <w:rPr>
                <w:b/>
                <w:color w:val="3A5A62" w:themeColor="accent5" w:themeShade="80"/>
              </w:rPr>
            </w:pPr>
          </w:p>
        </w:tc>
      </w:tr>
    </w:tbl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6008"/>
        <w:gridCol w:w="4438"/>
      </w:tblGrid>
      <w:tr w:rsidR="00EE0DD2" w:rsidTr="009B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E0DD2" w:rsidRPr="00B67CA3" w:rsidRDefault="00EE0DD2">
            <w:bookmarkStart w:id="0" w:name="-id_indic_15"/>
            <w:bookmarkStart w:id="1" w:name="-id_indic_12"/>
            <w:bookmarkStart w:id="2" w:name="-id_indic_102"/>
            <w:bookmarkEnd w:id="0"/>
            <w:bookmarkEnd w:id="1"/>
            <w:bookmarkEnd w:id="2"/>
          </w:p>
        </w:tc>
        <w:tc>
          <w:tcPr>
            <w:tcW w:w="4478" w:type="dxa"/>
            <w:shd w:val="clear" w:color="auto" w:fill="E3F1ED" w:themeFill="accent3" w:themeFillTint="33"/>
          </w:tcPr>
          <w:p w:rsidR="00EE0DD2" w:rsidRPr="00EE0DD2" w:rsidRDefault="00EE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CATEGORIE FINANCIERE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B6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3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TYPE DE LOGEMENT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EE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T4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 w:val="restart"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EFFECTIFS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Elèves : 750 (2</w:t>
            </w:r>
            <w:r w:rsidRPr="002B69EE">
              <w:rPr>
                <w:b/>
                <w:color w:val="316757" w:themeColor="accent3" w:themeShade="80"/>
                <w:vertAlign w:val="superscript"/>
              </w:rPr>
              <w:t>nde</w:t>
            </w:r>
            <w:r w:rsidRPr="002B69EE">
              <w:rPr>
                <w:b/>
                <w:color w:val="316757" w:themeColor="accent3" w:themeShade="80"/>
              </w:rPr>
              <w:t xml:space="preserve"> à BTS)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Personnel enseignant : 58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B6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Personnel non-enseignant : 30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B67CA3" w:rsidRPr="002B69EE" w:rsidRDefault="00CA4285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IPS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</w:p>
        </w:tc>
      </w:tr>
      <w:tr w:rsidR="00CA4285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CA4285" w:rsidRDefault="00CA4285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TAUX D’ELEVES BOURSIERS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CA4285" w:rsidRDefault="00CA4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23,8 % (2019)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PARTICULARITES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B6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Internat mixte</w:t>
            </w: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OFFRE DE FORMATION SPECIFIQUE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487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BTS ; Latin/Grec ; Section européenne</w:t>
            </w:r>
          </w:p>
        </w:tc>
      </w:tr>
      <w:tr w:rsidR="00E3792D" w:rsidTr="00E3792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3792D" w:rsidRPr="002B69EE" w:rsidRDefault="00E3792D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IVAL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E3792D" w:rsidRPr="002B69EE" w:rsidRDefault="00E3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9B1A61">
              <w:rPr>
                <w:b/>
                <w:color w:val="316757" w:themeColor="accent3" w:themeShade="80"/>
              </w:rPr>
              <w:t xml:space="preserve">Taux de réussite </w:t>
            </w:r>
            <w:r>
              <w:rPr>
                <w:b/>
                <w:color w:val="316757" w:themeColor="accent3" w:themeShade="80"/>
              </w:rPr>
              <w:t>–</w:t>
            </w:r>
            <w:r w:rsidRPr="009B1A61">
              <w:rPr>
                <w:b/>
                <w:color w:val="316757" w:themeColor="accent3" w:themeShade="80"/>
              </w:rPr>
              <w:t xml:space="preserve"> GENE</w:t>
            </w:r>
            <w:r>
              <w:rPr>
                <w:b/>
                <w:color w:val="316757" w:themeColor="accent3" w:themeShade="80"/>
              </w:rPr>
              <w:t> : 89 (session 2019)</w:t>
            </w:r>
          </w:p>
          <w:p w:rsidR="00E3792D" w:rsidRPr="002B69EE" w:rsidRDefault="00E3792D" w:rsidP="00EB6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9B1A61">
              <w:rPr>
                <w:b/>
                <w:color w:val="316757" w:themeColor="accent3" w:themeShade="80"/>
              </w:rPr>
              <w:t>VA / GENE</w:t>
            </w:r>
            <w:r>
              <w:rPr>
                <w:b/>
                <w:color w:val="316757" w:themeColor="accent3" w:themeShade="80"/>
              </w:rPr>
              <w:t xml:space="preserve"> : - 6 </w:t>
            </w:r>
          </w:p>
        </w:tc>
      </w:tr>
    </w:tbl>
    <w:p w:rsidR="00322317" w:rsidRDefault="00322317" w:rsidP="00F32A82">
      <w:pPr>
        <w:jc w:val="both"/>
        <w:rPr>
          <w:color w:val="404040" w:themeColor="text1" w:themeTint="BF"/>
        </w:rPr>
      </w:pPr>
    </w:p>
    <w:p w:rsidR="00CA4285" w:rsidRPr="00CA4285" w:rsidRDefault="00CA4285" w:rsidP="00CA4285">
      <w:pPr>
        <w:jc w:val="center"/>
        <w:rPr>
          <w:b/>
          <w:color w:val="404040" w:themeColor="text1" w:themeTint="BF"/>
          <w:u w:val="single"/>
        </w:rPr>
      </w:pPr>
      <w:r w:rsidRPr="00CA4285">
        <w:rPr>
          <w:b/>
          <w:color w:val="404040" w:themeColor="text1" w:themeTint="BF"/>
          <w:u w:val="single"/>
        </w:rPr>
        <w:t>Caractéristiques de l’établissement :</w:t>
      </w:r>
    </w:p>
    <w:p w:rsidR="00F32A82" w:rsidRPr="00984C5A" w:rsidRDefault="00984C5A" w:rsidP="00F32A82">
      <w:pPr>
        <w:jc w:val="both"/>
        <w:rPr>
          <w:i/>
          <w:color w:val="404040" w:themeColor="text1" w:themeTint="BF"/>
          <w:sz w:val="24"/>
        </w:rPr>
      </w:pPr>
      <w:r>
        <w:rPr>
          <w:i/>
          <w:color w:val="404040" w:themeColor="text1" w:themeTint="BF"/>
          <w:sz w:val="24"/>
        </w:rPr>
        <w:t>« </w:t>
      </w:r>
      <w:r w:rsidR="00F32A82" w:rsidRPr="00984C5A">
        <w:rPr>
          <w:i/>
          <w:color w:val="404040" w:themeColor="text1" w:themeTint="BF"/>
          <w:sz w:val="24"/>
        </w:rPr>
        <w:t>Le Lycée XXXX XXXXX est un établissement dont l’architecture des bâtiments et la position centrale à XXXX témoignent de son histoire</w:t>
      </w:r>
      <w:r w:rsidR="00CD2175" w:rsidRPr="00984C5A">
        <w:rPr>
          <w:i/>
          <w:color w:val="404040" w:themeColor="text1" w:themeTint="BF"/>
          <w:sz w:val="24"/>
        </w:rPr>
        <w:t>. Ces caractéristiques,</w:t>
      </w:r>
      <w:r w:rsidR="00F32A82" w:rsidRPr="00984C5A">
        <w:rPr>
          <w:i/>
          <w:color w:val="404040" w:themeColor="text1" w:themeTint="BF"/>
          <w:sz w:val="24"/>
        </w:rPr>
        <w:t xml:space="preserve"> ainsi que le dynamisme de l’établissement et la rénovation </w:t>
      </w:r>
      <w:r w:rsidR="00CA4285">
        <w:rPr>
          <w:i/>
          <w:color w:val="404040" w:themeColor="text1" w:themeTint="BF"/>
          <w:sz w:val="24"/>
        </w:rPr>
        <w:t xml:space="preserve">de son internat, ont contribué </w:t>
      </w:r>
      <w:r w:rsidR="00F32A82" w:rsidRPr="00984C5A">
        <w:rPr>
          <w:i/>
          <w:color w:val="404040" w:themeColor="text1" w:themeTint="BF"/>
          <w:sz w:val="24"/>
        </w:rPr>
        <w:t>au maint</w:t>
      </w:r>
      <w:r w:rsidR="00CA4285">
        <w:rPr>
          <w:i/>
          <w:color w:val="404040" w:themeColor="text1" w:themeTint="BF"/>
          <w:sz w:val="24"/>
        </w:rPr>
        <w:t>ien des effectifs</w:t>
      </w:r>
      <w:r w:rsidR="00F32A82" w:rsidRPr="00984C5A">
        <w:rPr>
          <w:i/>
          <w:color w:val="404040" w:themeColor="text1" w:themeTint="BF"/>
          <w:sz w:val="24"/>
        </w:rPr>
        <w:t xml:space="preserve"> dans un contexte démographique pourtant peu favorable.</w:t>
      </w:r>
    </w:p>
    <w:p w:rsidR="00F32A82" w:rsidRPr="00984C5A" w:rsidRDefault="00F32A82" w:rsidP="00F32A82">
      <w:pPr>
        <w:jc w:val="both"/>
        <w:rPr>
          <w:i/>
          <w:color w:val="404040" w:themeColor="text1" w:themeTint="BF"/>
          <w:sz w:val="24"/>
        </w:rPr>
      </w:pPr>
      <w:r w:rsidRPr="00984C5A">
        <w:rPr>
          <w:i/>
          <w:color w:val="404040" w:themeColor="text1" w:themeTint="BF"/>
          <w:sz w:val="24"/>
        </w:rPr>
        <w:t>Cette attractivité s’explique également par un bon équilibre entre une coloration « arts &amp; lettres » (présence notamment de deux options artistiques) et une présence scientifique</w:t>
      </w:r>
      <w:r w:rsidR="00984C5A" w:rsidRPr="00984C5A">
        <w:rPr>
          <w:i/>
          <w:color w:val="404040" w:themeColor="text1" w:themeTint="BF"/>
          <w:sz w:val="24"/>
        </w:rPr>
        <w:t xml:space="preserve"> et technologique (</w:t>
      </w:r>
      <w:r w:rsidRPr="00984C5A">
        <w:rPr>
          <w:i/>
          <w:color w:val="404040" w:themeColor="text1" w:themeTint="BF"/>
          <w:sz w:val="24"/>
        </w:rPr>
        <w:t>STMG)</w:t>
      </w:r>
      <w:r w:rsidR="00984C5A">
        <w:rPr>
          <w:i/>
          <w:color w:val="404040" w:themeColor="text1" w:themeTint="BF"/>
          <w:sz w:val="24"/>
        </w:rPr>
        <w:t> »</w:t>
      </w:r>
      <w:r w:rsidRPr="00984C5A">
        <w:rPr>
          <w:i/>
          <w:color w:val="404040" w:themeColor="text1" w:themeTint="BF"/>
          <w:sz w:val="24"/>
        </w:rPr>
        <w:t>.</w:t>
      </w:r>
    </w:p>
    <w:p w:rsidR="00322317" w:rsidRPr="00322317" w:rsidRDefault="00322317" w:rsidP="00F32A82">
      <w:pPr>
        <w:spacing w:after="0"/>
        <w:rPr>
          <w:b/>
          <w:color w:val="3A5A62" w:themeColor="accent5" w:themeShade="80"/>
          <w:sz w:val="24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322317" w:rsidRDefault="0070279F" w:rsidP="0070279F">
      <w:pPr>
        <w:tabs>
          <w:tab w:val="left" w:pos="9500"/>
        </w:tabs>
        <w:spacing w:after="0"/>
        <w:rPr>
          <w:b/>
          <w:color w:val="3A5A62" w:themeColor="accent5" w:themeShade="80"/>
        </w:rPr>
      </w:pPr>
      <w:r>
        <w:rPr>
          <w:b/>
          <w:color w:val="3A5A62" w:themeColor="accent5" w:themeShade="80"/>
        </w:rPr>
        <w:tab/>
      </w:r>
    </w:p>
    <w:p w:rsidR="00322317" w:rsidRDefault="00322317" w:rsidP="00F32A82">
      <w:pPr>
        <w:spacing w:after="0"/>
        <w:rPr>
          <w:b/>
          <w:color w:val="3A5A62" w:themeColor="accent5" w:themeShade="80"/>
        </w:rPr>
      </w:pPr>
    </w:p>
    <w:p w:rsidR="00F32A82" w:rsidRPr="002B69EE" w:rsidRDefault="00F32A82" w:rsidP="00F32A82">
      <w:pPr>
        <w:spacing w:after="0"/>
        <w:rPr>
          <w:b/>
          <w:color w:val="3A5A62" w:themeColor="accent5" w:themeShade="80"/>
        </w:rPr>
      </w:pPr>
      <w:r>
        <w:rPr>
          <w:b/>
          <w:color w:val="3A5A62" w:themeColor="accent5" w:themeShade="80"/>
        </w:rPr>
        <w:t>L</w:t>
      </w:r>
      <w:r w:rsidRPr="002B69EE">
        <w:rPr>
          <w:b/>
          <w:color w:val="3A5A62" w:themeColor="accent5" w:themeShade="80"/>
        </w:rPr>
        <w:t>E POSTE</w:t>
      </w:r>
    </w:p>
    <w:p w:rsidR="00F32A82" w:rsidRDefault="00F32A82" w:rsidP="00F32A82">
      <w:pPr>
        <w:spacing w:after="0" w:line="240" w:lineRule="auto"/>
        <w:jc w:val="both"/>
        <w:rPr>
          <w:i/>
        </w:rPr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608"/>
        <w:gridCol w:w="6858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CATEGORIE</w:t>
            </w:r>
          </w:p>
        </w:tc>
        <w:tc>
          <w:tcPr>
            <w:tcW w:w="6954" w:type="dxa"/>
            <w:tcBorders>
              <w:lef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EE">
              <w:t>A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CORPS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Personnels de direction d’établissement d’enseignement ou de formation relevant du ministre de l’éducation nationale</w:t>
            </w:r>
          </w:p>
        </w:tc>
      </w:tr>
      <w:tr w:rsidR="00F32A82" w:rsidTr="000A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EMPLOI-TYPE :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Directeur d’un établissement public d’éducation et de formation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>
              <w:t>DUREE ATTENDUE SUR LE POSTE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 ans au moins – 9 ans au plus (dispositions statutaires)</w:t>
            </w:r>
          </w:p>
        </w:tc>
      </w:tr>
    </w:tbl>
    <w:p w:rsidR="00F32A82" w:rsidRPr="004512B4" w:rsidRDefault="00F32A82" w:rsidP="00F32A82">
      <w:pPr>
        <w:spacing w:after="0" w:line="240" w:lineRule="auto"/>
        <w:jc w:val="both"/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894"/>
        <w:gridCol w:w="6572"/>
      </w:tblGrid>
      <w:tr w:rsidR="00F32A82" w:rsidTr="00F3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</w:tcPr>
          <w:p w:rsidR="00F32A82" w:rsidRPr="00142162" w:rsidRDefault="00F32A82" w:rsidP="000A51FC">
            <w:pPr>
              <w:rPr>
                <w:caps/>
              </w:rPr>
            </w:pPr>
          </w:p>
        </w:tc>
        <w:tc>
          <w:tcPr>
            <w:tcW w:w="6572" w:type="dxa"/>
          </w:tcPr>
          <w:p w:rsidR="00F32A82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A82" w:rsidTr="00F3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142162" w:rsidRDefault="00F32A82" w:rsidP="000A51FC">
            <w:pPr>
              <w:rPr>
                <w:caps/>
              </w:rPr>
            </w:pPr>
            <w:r w:rsidRPr="00142162">
              <w:rPr>
                <w:caps/>
              </w:rPr>
              <w:t>Conditions particulières d’exercice</w:t>
            </w:r>
          </w:p>
        </w:tc>
        <w:tc>
          <w:tcPr>
            <w:tcW w:w="657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</w:tcBorders>
            <w:shd w:val="clear" w:color="auto" w:fill="E6EEF0" w:themeFill="accent5" w:themeFillTint="33"/>
          </w:tcPr>
          <w:p w:rsidR="00F32A82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Contraintes horaires, activités</w:t>
            </w:r>
            <w:r w:rsidR="00E9109B">
              <w:t>, astreintes, missions annexes, nombre d’adjoints, DDFPT, effectif équipe administrative</w:t>
            </w:r>
          </w:p>
        </w:tc>
      </w:tr>
    </w:tbl>
    <w:p w:rsidR="00F32A82" w:rsidRDefault="00F32A82" w:rsidP="00F32A82">
      <w:pPr>
        <w:spacing w:after="0"/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610"/>
        <w:gridCol w:w="6856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32A82" w:rsidRDefault="00F32A82" w:rsidP="000A51FC">
            <w:pPr>
              <w:rPr>
                <w:caps/>
              </w:rPr>
            </w:pPr>
          </w:p>
          <w:p w:rsidR="00F32A82" w:rsidRPr="00142162" w:rsidRDefault="00F32A82" w:rsidP="000A51FC">
            <w:pPr>
              <w:rPr>
                <w:caps/>
              </w:rPr>
            </w:pPr>
          </w:p>
        </w:tc>
        <w:tc>
          <w:tcPr>
            <w:tcW w:w="6954" w:type="dxa"/>
          </w:tcPr>
          <w:p w:rsidR="00F32A82" w:rsidRPr="00210C00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142162" w:rsidRDefault="00F32A82" w:rsidP="000A51FC">
            <w:pPr>
              <w:rPr>
                <w:caps/>
              </w:rPr>
            </w:pPr>
            <w:r w:rsidRPr="00142162">
              <w:rPr>
                <w:caps/>
              </w:rPr>
              <w:t>Champs relationnels du poste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</w:tcBorders>
            <w:shd w:val="clear" w:color="auto" w:fill="E6EEF0" w:themeFill="accent5" w:themeFillTint="33"/>
          </w:tcPr>
          <w:p w:rsidR="00F32A82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DSDEN et Services académiques /Autres établissements du secteur, y compris enseignement supérieur / Services de l’Etat dans le département / Conseil régional</w:t>
            </w:r>
            <w:r w:rsidR="00E9109B">
              <w:t>/ Conseil départemental, interco</w:t>
            </w:r>
            <w:r w:rsidR="00322317">
              <w:t>mmunalité</w:t>
            </w:r>
            <w:r w:rsidR="00E9109B">
              <w:t>, communes</w:t>
            </w:r>
          </w:p>
        </w:tc>
      </w:tr>
    </w:tbl>
    <w:p w:rsidR="00F32A82" w:rsidRDefault="00F32A82" w:rsidP="00F32A82">
      <w:pPr>
        <w:pStyle w:val="Listepuces"/>
        <w:numPr>
          <w:ilvl w:val="0"/>
          <w:numId w:val="0"/>
        </w:numPr>
      </w:pPr>
    </w:p>
    <w:p w:rsidR="00CD2175" w:rsidRPr="00322317" w:rsidRDefault="00926652" w:rsidP="00322317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  <w:r w:rsidRPr="00322317">
        <w:rPr>
          <w:color w:val="404040" w:themeColor="text1" w:themeTint="BF"/>
          <w:sz w:val="24"/>
        </w:rPr>
        <w:t>Chargé(e) de seconder le chef d’établissement dans l’exercice des missions qui lui sont dévolues, le proviseur-adjoint inscrit son action en appui de celle du proviseur, dans le cadre de la stratégie académique, expression de la politique pédagogique et éducative nationale dans le contexte de l'académie.</w:t>
      </w:r>
    </w:p>
    <w:p w:rsidR="00AA0690" w:rsidRDefault="00AA0690" w:rsidP="00DB6601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</w:p>
    <w:p w:rsidR="00F32A82" w:rsidRPr="00322317" w:rsidRDefault="00CA4285" w:rsidP="00DB6601">
      <w:pPr>
        <w:pStyle w:val="Listepuces"/>
        <w:numPr>
          <w:ilvl w:val="0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>Enjeux du poste</w:t>
      </w:r>
    </w:p>
    <w:p w:rsidR="00CD2175" w:rsidRDefault="00CD2175" w:rsidP="00F32A82">
      <w:pPr>
        <w:pStyle w:val="Listepuces"/>
        <w:numPr>
          <w:ilvl w:val="0"/>
          <w:numId w:val="0"/>
        </w:numPr>
      </w:pPr>
    </w:p>
    <w:p w:rsidR="00CD2175" w:rsidRDefault="00931463" w:rsidP="00F32A82">
      <w:pPr>
        <w:pStyle w:val="Listepuces"/>
        <w:numPr>
          <w:ilvl w:val="0"/>
          <w:numId w:val="0"/>
        </w:numPr>
      </w:pPr>
      <w:r>
        <w:t>XXXXXXXXXXXX</w:t>
      </w:r>
      <w:bookmarkStart w:id="3" w:name="_GoBack"/>
      <w:bookmarkEnd w:id="3"/>
    </w:p>
    <w:p w:rsidR="00322317" w:rsidRDefault="00322317" w:rsidP="00F32A82">
      <w:pPr>
        <w:pStyle w:val="Listepuces"/>
        <w:numPr>
          <w:ilvl w:val="0"/>
          <w:numId w:val="0"/>
        </w:numPr>
      </w:pPr>
    </w:p>
    <w:p w:rsidR="00322317" w:rsidRDefault="00322317" w:rsidP="00F32A82">
      <w:pPr>
        <w:pStyle w:val="Listepuces"/>
        <w:numPr>
          <w:ilvl w:val="0"/>
          <w:numId w:val="0"/>
        </w:numPr>
      </w:pPr>
    </w:p>
    <w:p w:rsidR="00F32A82" w:rsidRPr="004512B4" w:rsidRDefault="00F32A82" w:rsidP="00F32A82">
      <w:pPr>
        <w:pStyle w:val="Listepuces"/>
        <w:numPr>
          <w:ilvl w:val="0"/>
          <w:numId w:val="0"/>
        </w:numPr>
        <w:spacing w:after="0"/>
        <w:rPr>
          <w:color w:val="3A5A62" w:themeColor="accent5" w:themeShade="80"/>
        </w:rPr>
      </w:pPr>
      <w:r w:rsidRPr="004512B4">
        <w:rPr>
          <w:b/>
          <w:color w:val="3A5A62" w:themeColor="accent5" w:themeShade="80"/>
        </w:rPr>
        <w:t xml:space="preserve">Niveau </w:t>
      </w:r>
      <w:r w:rsidR="008136FB">
        <w:rPr>
          <w:b/>
          <w:color w:val="3A5A62" w:themeColor="accent5" w:themeShade="80"/>
        </w:rPr>
        <w:t>de complexité estimé</w:t>
      </w:r>
      <w:r w:rsidRPr="004512B4">
        <w:rPr>
          <w:b/>
          <w:color w:val="3A5A62" w:themeColor="accent5" w:themeShade="80"/>
        </w:rPr>
        <w:t>, sur le poste, dans chacune des quatre grandes thématiques de l’évaluation</w:t>
      </w:r>
    </w:p>
    <w:p w:rsidR="00F32A82" w:rsidRPr="004512B4" w:rsidRDefault="00F32A82" w:rsidP="00F32A82">
      <w:pPr>
        <w:spacing w:after="0" w:line="240" w:lineRule="auto"/>
        <w:jc w:val="both"/>
        <w:rPr>
          <w:sz w:val="6"/>
        </w:rPr>
      </w:pPr>
    </w:p>
    <w:tbl>
      <w:tblPr>
        <w:tblStyle w:val="Grillemoyenne3-Accent5"/>
        <w:tblW w:w="10598" w:type="dxa"/>
        <w:tblLayout w:type="fixed"/>
        <w:tblLook w:val="04A0" w:firstRow="1" w:lastRow="0" w:firstColumn="1" w:lastColumn="0" w:noHBand="0" w:noVBand="1"/>
      </w:tblPr>
      <w:tblGrid>
        <w:gridCol w:w="5232"/>
        <w:gridCol w:w="1342"/>
        <w:gridCol w:w="1341"/>
        <w:gridCol w:w="1342"/>
        <w:gridCol w:w="1341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:rsidR="00F32A82" w:rsidRDefault="00F32A82" w:rsidP="000A51FC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F32A82" w:rsidRDefault="00F32A82" w:rsidP="000A5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Faible</w:t>
            </w:r>
          </w:p>
        </w:tc>
        <w:tc>
          <w:tcPr>
            <w:tcW w:w="1341" w:type="dxa"/>
            <w:vAlign w:val="center"/>
          </w:tcPr>
          <w:p w:rsidR="00F32A82" w:rsidRPr="00C6771E" w:rsidRDefault="008136FB" w:rsidP="000A5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342" w:type="dxa"/>
            <w:vAlign w:val="center"/>
          </w:tcPr>
          <w:p w:rsidR="00F32A82" w:rsidRDefault="00E9109B" w:rsidP="000A51FC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Sensible</w:t>
            </w:r>
          </w:p>
        </w:tc>
        <w:tc>
          <w:tcPr>
            <w:tcW w:w="1341" w:type="dxa"/>
            <w:vAlign w:val="center"/>
          </w:tcPr>
          <w:p w:rsidR="00F32A82" w:rsidRDefault="008136FB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Très </w:t>
            </w:r>
            <w:r w:rsidR="00E9109B">
              <w:rPr>
                <w:rFonts w:ascii="Arial" w:hAnsi="Arial" w:cs="Arial"/>
                <w:sz w:val="20"/>
                <w:szCs w:val="20"/>
              </w:rPr>
              <w:t>sensible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1.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Pilotage de l’établissement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A82" w:rsidTr="000A51F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2.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Conduite et animation d’une politique pédagogique</w:t>
            </w:r>
          </w:p>
          <w:p w:rsidR="00F32A82" w:rsidRPr="00113E32" w:rsidRDefault="00F32A82" w:rsidP="000A51FC">
            <w:pPr>
              <w:ind w:righ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et éducative dédiée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3.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Compétences  managériales</w:t>
            </w:r>
          </w:p>
        </w:tc>
        <w:tc>
          <w:tcPr>
            <w:tcW w:w="1342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82" w:rsidRPr="003F017C" w:rsidTr="000A51F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Pr="003F017C" w:rsidRDefault="00F32A82" w:rsidP="000A51F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4. </w:t>
            </w:r>
            <w:r w:rsidRPr="00C6771E">
              <w:rPr>
                <w:rFonts w:ascii="Arial" w:hAnsi="Arial" w:cs="Arial"/>
                <w:smallCaps/>
                <w:sz w:val="20"/>
                <w:szCs w:val="20"/>
              </w:rPr>
              <w:t>Liens avec l’environnement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2A82" w:rsidRPr="00276BA5" w:rsidRDefault="00F32A82" w:rsidP="00276BA5">
      <w:pPr>
        <w:tabs>
          <w:tab w:val="left" w:pos="9511"/>
        </w:tabs>
      </w:pPr>
    </w:p>
    <w:sectPr w:rsidR="00F32A82" w:rsidRPr="00276BA5" w:rsidSect="002D5504">
      <w:headerReference w:type="default" r:id="rId7"/>
      <w:footerReference w:type="default" r:id="rId8"/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F" w:rsidRDefault="00FD0DDF" w:rsidP="009711B4">
      <w:pPr>
        <w:spacing w:after="0" w:line="240" w:lineRule="auto"/>
      </w:pPr>
      <w:r>
        <w:separator/>
      </w:r>
    </w:p>
  </w:endnote>
  <w:endnote w:type="continuationSeparator" w:id="0">
    <w:p w:rsidR="00FD0DDF" w:rsidRDefault="00FD0DDF" w:rsidP="0097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4" w:rsidRDefault="004D5F54" w:rsidP="004D5F54">
    <w:pPr>
      <w:pStyle w:val="Pieddepage"/>
      <w:jc w:val="right"/>
    </w:pPr>
    <w:r>
      <w:t xml:space="preserve">Date de dernière mise à jour de la fiche de poste : </w:t>
    </w:r>
    <w:r w:rsidR="0070279F">
      <w:t>06/10</w:t>
    </w:r>
    <w:r w:rsidR="00B9008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F" w:rsidRDefault="00FD0DDF" w:rsidP="009711B4">
      <w:pPr>
        <w:spacing w:after="0" w:line="240" w:lineRule="auto"/>
      </w:pPr>
      <w:r>
        <w:separator/>
      </w:r>
    </w:p>
  </w:footnote>
  <w:footnote w:type="continuationSeparator" w:id="0">
    <w:p w:rsidR="00FD0DDF" w:rsidRDefault="00FD0DDF" w:rsidP="0097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B4" w:rsidRDefault="002D5504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>
          <wp:extent cx="1009650" cy="10165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605" cy="1020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5EC08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D"/>
    <w:rsid w:val="0000088B"/>
    <w:rsid w:val="000072AD"/>
    <w:rsid w:val="00043F37"/>
    <w:rsid w:val="000465A7"/>
    <w:rsid w:val="00074709"/>
    <w:rsid w:val="00075146"/>
    <w:rsid w:val="000E2B3A"/>
    <w:rsid w:val="000E7DD0"/>
    <w:rsid w:val="00116C72"/>
    <w:rsid w:val="00142162"/>
    <w:rsid w:val="0017602E"/>
    <w:rsid w:val="001A67D8"/>
    <w:rsid w:val="001E1DDF"/>
    <w:rsid w:val="001F0EDE"/>
    <w:rsid w:val="0020479E"/>
    <w:rsid w:val="00210C00"/>
    <w:rsid w:val="002121D1"/>
    <w:rsid w:val="00244A48"/>
    <w:rsid w:val="00276BA5"/>
    <w:rsid w:val="002B69EE"/>
    <w:rsid w:val="002D2B81"/>
    <w:rsid w:val="002D5504"/>
    <w:rsid w:val="003139F5"/>
    <w:rsid w:val="0031421C"/>
    <w:rsid w:val="00322317"/>
    <w:rsid w:val="00362A0A"/>
    <w:rsid w:val="0036441B"/>
    <w:rsid w:val="00383F09"/>
    <w:rsid w:val="00414965"/>
    <w:rsid w:val="004322B7"/>
    <w:rsid w:val="004512B4"/>
    <w:rsid w:val="004736D0"/>
    <w:rsid w:val="0048768F"/>
    <w:rsid w:val="00487694"/>
    <w:rsid w:val="004B755F"/>
    <w:rsid w:val="004D5F54"/>
    <w:rsid w:val="004E1B19"/>
    <w:rsid w:val="004E21BC"/>
    <w:rsid w:val="00581783"/>
    <w:rsid w:val="005E4923"/>
    <w:rsid w:val="006072B6"/>
    <w:rsid w:val="006331B9"/>
    <w:rsid w:val="00635666"/>
    <w:rsid w:val="006505F5"/>
    <w:rsid w:val="00663427"/>
    <w:rsid w:val="00691B0F"/>
    <w:rsid w:val="00697F78"/>
    <w:rsid w:val="00701316"/>
    <w:rsid w:val="0070279F"/>
    <w:rsid w:val="00713BAC"/>
    <w:rsid w:val="00725F48"/>
    <w:rsid w:val="008136FB"/>
    <w:rsid w:val="009010B8"/>
    <w:rsid w:val="00922FFF"/>
    <w:rsid w:val="00926652"/>
    <w:rsid w:val="00931463"/>
    <w:rsid w:val="009711B4"/>
    <w:rsid w:val="00984C5A"/>
    <w:rsid w:val="009B1A61"/>
    <w:rsid w:val="00A43EEF"/>
    <w:rsid w:val="00AA0690"/>
    <w:rsid w:val="00B67CA3"/>
    <w:rsid w:val="00B73256"/>
    <w:rsid w:val="00B90081"/>
    <w:rsid w:val="00BC0D13"/>
    <w:rsid w:val="00C03E07"/>
    <w:rsid w:val="00C12F3E"/>
    <w:rsid w:val="00C653EA"/>
    <w:rsid w:val="00CA4285"/>
    <w:rsid w:val="00CD2175"/>
    <w:rsid w:val="00D018C1"/>
    <w:rsid w:val="00D42DFE"/>
    <w:rsid w:val="00D62018"/>
    <w:rsid w:val="00D9753E"/>
    <w:rsid w:val="00DB6601"/>
    <w:rsid w:val="00E3792D"/>
    <w:rsid w:val="00E477F1"/>
    <w:rsid w:val="00E47EBC"/>
    <w:rsid w:val="00E9109B"/>
    <w:rsid w:val="00EC084C"/>
    <w:rsid w:val="00EE0DD2"/>
    <w:rsid w:val="00F32A82"/>
    <w:rsid w:val="00F477D9"/>
    <w:rsid w:val="00F579AC"/>
    <w:rsid w:val="00F83895"/>
    <w:rsid w:val="00FD0DDF"/>
    <w:rsid w:val="00FD7AA1"/>
    <w:rsid w:val="00FE3EAD"/>
    <w:rsid w:val="00FE4886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72D66"/>
  <w15:docId w15:val="{ED11387C-663A-4144-91C2-A6C09A2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B4"/>
  </w:style>
  <w:style w:type="paragraph" w:styleId="Pieddepage">
    <w:name w:val="footer"/>
    <w:basedOn w:val="Normal"/>
    <w:link w:val="Pieddepag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B4"/>
  </w:style>
  <w:style w:type="character" w:styleId="Marquedecommentaire">
    <w:name w:val="annotation reference"/>
    <w:basedOn w:val="Policepardfaut"/>
    <w:rsid w:val="004D5F54"/>
    <w:rPr>
      <w:sz w:val="16"/>
      <w:szCs w:val="16"/>
    </w:rPr>
  </w:style>
  <w:style w:type="paragraph" w:styleId="Commentaire">
    <w:name w:val="annotation text"/>
    <w:basedOn w:val="Normal"/>
    <w:link w:val="CommentaireCar"/>
    <w:rsid w:val="004D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4D5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663427"/>
    <w:pPr>
      <w:numPr>
        <w:numId w:val="1"/>
      </w:numPr>
      <w:contextualSpacing/>
    </w:pPr>
  </w:style>
  <w:style w:type="table" w:styleId="Trameclaire-Accent1">
    <w:name w:val="Light Shading Accent 1"/>
    <w:basedOn w:val="TableauNormal"/>
    <w:uiPriority w:val="60"/>
    <w:rsid w:val="00B67CA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stemoyenne1-Accent3">
    <w:name w:val="Medium List 1 Accent 3"/>
    <w:basedOn w:val="TableauNormal"/>
    <w:uiPriority w:val="65"/>
    <w:rsid w:val="00EE0D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Trameclaire-Accent3">
    <w:name w:val="Light Shading Accent 3"/>
    <w:basedOn w:val="TableauNormal"/>
    <w:uiPriority w:val="60"/>
    <w:rsid w:val="00D42DF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D42DF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Grillemoyenne3-Accent5">
    <w:name w:val="Medium Grid 3 Accent 5"/>
    <w:basedOn w:val="TableauNormal"/>
    <w:uiPriority w:val="69"/>
    <w:rsid w:val="00244A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414965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A4285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Pierre-Laurent Jouillerot</dc:creator>
  <cp:lastModifiedBy>Utilisateur Windows</cp:lastModifiedBy>
  <cp:revision>5</cp:revision>
  <cp:lastPrinted>2022-04-04T13:58:00Z</cp:lastPrinted>
  <dcterms:created xsi:type="dcterms:W3CDTF">2021-11-29T10:46:00Z</dcterms:created>
  <dcterms:modified xsi:type="dcterms:W3CDTF">2022-04-04T13:58:00Z</dcterms:modified>
</cp:coreProperties>
</file>