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C5F7" w14:textId="4ED443BD" w:rsidR="001B7461" w:rsidRDefault="001B7461" w:rsidP="007F3C0C">
      <w:pPr>
        <w:widowControl w:val="0"/>
        <w:tabs>
          <w:tab w:val="center" w:pos="4111"/>
        </w:tabs>
        <w:autoSpaceDE w:val="0"/>
        <w:autoSpaceDN w:val="0"/>
        <w:spacing w:after="0" w:line="276" w:lineRule="auto"/>
        <w:ind w:right="59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7F9D8305" w14:textId="77777777" w:rsidR="001B7461" w:rsidRDefault="001B7461" w:rsidP="001B7461">
      <w:pPr>
        <w:widowControl w:val="0"/>
        <w:tabs>
          <w:tab w:val="center" w:pos="4111"/>
        </w:tabs>
        <w:autoSpaceDE w:val="0"/>
        <w:autoSpaceDN w:val="0"/>
        <w:spacing w:after="0" w:line="276" w:lineRule="auto"/>
        <w:ind w:right="59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8B86567" w14:textId="066E03E3" w:rsidR="001B7461" w:rsidRDefault="001B7461" w:rsidP="00B164D7">
      <w:pPr>
        <w:widowControl w:val="0"/>
        <w:tabs>
          <w:tab w:val="left" w:pos="1309"/>
        </w:tabs>
        <w:autoSpaceDE w:val="0"/>
        <w:autoSpaceDN w:val="0"/>
        <w:spacing w:after="0" w:line="276" w:lineRule="auto"/>
        <w:ind w:right="59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51713BC" w14:textId="77777777" w:rsidR="00683EF9" w:rsidRPr="009B772B" w:rsidRDefault="009029E8" w:rsidP="000C661C">
      <w:pPr>
        <w:pStyle w:val="Titre"/>
        <w:jc w:val="center"/>
        <w:rPr>
          <w:rFonts w:eastAsia="Arial"/>
        </w:rPr>
      </w:pPr>
      <w:r w:rsidRPr="009B772B">
        <w:rPr>
          <w:rFonts w:eastAsia="Arial"/>
        </w:rPr>
        <w:t>ANNEXE 1</w:t>
      </w:r>
    </w:p>
    <w:p w14:paraId="6A712C92" w14:textId="3E41D7DC" w:rsidR="00F44466" w:rsidRDefault="009029E8" w:rsidP="00625E45">
      <w:pPr>
        <w:pStyle w:val="Titre"/>
        <w:jc w:val="center"/>
        <w:rPr>
          <w:rFonts w:eastAsia="Arial"/>
        </w:rPr>
      </w:pPr>
      <w:r w:rsidRPr="009B772B">
        <w:rPr>
          <w:rFonts w:eastAsia="Arial"/>
        </w:rPr>
        <w:t>LA DISPONIBILITÉ</w:t>
      </w:r>
    </w:p>
    <w:p w14:paraId="2CA0F944" w14:textId="77777777" w:rsidR="00625E45" w:rsidRPr="00625E45" w:rsidRDefault="00625E45" w:rsidP="00625E45"/>
    <w:p w14:paraId="10E433D5" w14:textId="76030C20" w:rsidR="009029E8" w:rsidRPr="009029E8" w:rsidRDefault="009029E8" w:rsidP="007F3C0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t>La disponibilité est la position du fonctionnaire titulaire qui, placé hors de son administration ou service d'origine, cesse de bénéficier des droits à l'avancement et à la retraite</w:t>
      </w:r>
      <w:r w:rsidR="00F053AA">
        <w:rPr>
          <w:rFonts w:ascii="Arial" w:eastAsia="Arial" w:hAnsi="Arial" w:cs="Arial"/>
          <w:sz w:val="20"/>
        </w:rPr>
        <w:t xml:space="preserve"> conformément aux dispositions de l’article L514-1 de Code général de la fonction publique</w:t>
      </w:r>
      <w:r w:rsidRPr="009029E8">
        <w:rPr>
          <w:rFonts w:ascii="Arial" w:eastAsia="Arial" w:hAnsi="Arial" w:cs="Arial"/>
          <w:sz w:val="20"/>
        </w:rPr>
        <w:t xml:space="preserve">. </w:t>
      </w:r>
    </w:p>
    <w:p w14:paraId="1DFACE65" w14:textId="1B018D7C" w:rsidR="00F053AA" w:rsidRDefault="00F053AA" w:rsidP="007F3C0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7EB8DF7A" w14:textId="4604E312" w:rsidR="00F053AA" w:rsidRDefault="00F053AA" w:rsidP="007F3C0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F053AA">
        <w:rPr>
          <w:rFonts w:ascii="Arial" w:eastAsia="Arial" w:hAnsi="Arial" w:cs="Arial"/>
          <w:sz w:val="20"/>
        </w:rPr>
        <w:t>Par dérogation, un fonctionnaire bénéficiant d'une disponibilité au cours de laquelle il exerce une activité professionnelle</w:t>
      </w:r>
      <w:r>
        <w:rPr>
          <w:rFonts w:ascii="Arial" w:eastAsia="Arial" w:hAnsi="Arial" w:cs="Arial"/>
          <w:sz w:val="20"/>
        </w:rPr>
        <w:t xml:space="preserve"> </w:t>
      </w:r>
      <w:r w:rsidRPr="00F053AA">
        <w:rPr>
          <w:rFonts w:ascii="Arial" w:eastAsia="Arial" w:hAnsi="Arial" w:cs="Arial"/>
          <w:sz w:val="20"/>
        </w:rPr>
        <w:t>ou d'une disponibilité pour élever un enfant, conserve, pendant une durée maximale de cinq ans, ses droits à l'avancement.</w:t>
      </w:r>
      <w:r>
        <w:rPr>
          <w:rFonts w:ascii="Arial" w:eastAsia="Arial" w:hAnsi="Arial" w:cs="Arial"/>
          <w:sz w:val="20"/>
        </w:rPr>
        <w:t xml:space="preserve"> </w:t>
      </w:r>
      <w:r w:rsidRPr="00F053AA">
        <w:rPr>
          <w:rFonts w:ascii="Arial" w:eastAsia="Arial" w:hAnsi="Arial" w:cs="Arial"/>
          <w:sz w:val="20"/>
        </w:rPr>
        <w:t>Cette période est assimilée à des services effectifs dans son corps ou son cadre d'emplois.</w:t>
      </w:r>
      <w:r w:rsidR="003A0A08">
        <w:rPr>
          <w:rFonts w:ascii="Arial" w:eastAsia="Arial" w:hAnsi="Arial" w:cs="Arial"/>
          <w:sz w:val="20"/>
        </w:rPr>
        <w:t xml:space="preserve"> </w:t>
      </w:r>
      <w:r w:rsidR="003A0A08" w:rsidRPr="003A0A08">
        <w:rPr>
          <w:rFonts w:ascii="Arial" w:eastAsia="Arial" w:hAnsi="Arial" w:cs="Arial"/>
          <w:sz w:val="20"/>
        </w:rPr>
        <w:t>La conservation de ces droits est subordonnée à la transmission par l'intéressé à son autorité de gestion des pièces justifiant de l'exercice d'une activité professionnelle</w:t>
      </w:r>
      <w:r w:rsidR="001610FD">
        <w:rPr>
          <w:rFonts w:ascii="Arial" w:eastAsia="Arial" w:hAnsi="Arial" w:cs="Arial"/>
          <w:sz w:val="20"/>
        </w:rPr>
        <w:t xml:space="preserve"> au moment de sa réintégration dans son corps d’origine</w:t>
      </w:r>
      <w:r w:rsidR="003A0A08" w:rsidRPr="003A0A08">
        <w:rPr>
          <w:rFonts w:ascii="Arial" w:eastAsia="Arial" w:hAnsi="Arial" w:cs="Arial"/>
          <w:sz w:val="20"/>
        </w:rPr>
        <w:t>.</w:t>
      </w:r>
      <w:r w:rsidR="001610FD">
        <w:rPr>
          <w:rFonts w:ascii="Arial" w:eastAsia="Arial" w:hAnsi="Arial" w:cs="Arial"/>
          <w:sz w:val="20"/>
        </w:rPr>
        <w:t xml:space="preserve"> Le décret </w:t>
      </w:r>
      <w:r w:rsidR="001610FD" w:rsidRPr="000D08EF">
        <w:rPr>
          <w:rFonts w:ascii="Arial" w:eastAsia="Arial" w:hAnsi="Arial" w:cs="Arial"/>
          <w:sz w:val="20"/>
        </w:rPr>
        <w:t xml:space="preserve">n°2025-1169 du 5 décembre 2025 modifiant certaines conditions de la disponibilité </w:t>
      </w:r>
      <w:r w:rsidR="001610FD">
        <w:rPr>
          <w:rFonts w:ascii="Arial" w:eastAsia="Arial" w:hAnsi="Arial" w:cs="Arial"/>
          <w:sz w:val="20"/>
        </w:rPr>
        <w:t>prévoit désormais une transmission unique des justificatifs lors de la réintégration dans le corps. La liste des pièces justificatives sera fixée</w:t>
      </w:r>
      <w:r w:rsidR="001610FD" w:rsidRPr="001610FD">
        <w:rPr>
          <w:rFonts w:ascii="Arial" w:eastAsia="Arial" w:hAnsi="Arial" w:cs="Arial"/>
          <w:sz w:val="20"/>
        </w:rPr>
        <w:t xml:space="preserve"> par arrêté du ministre chargé de la fonction publique</w:t>
      </w:r>
      <w:r w:rsidR="001610FD">
        <w:rPr>
          <w:rFonts w:ascii="Arial" w:eastAsia="Arial" w:hAnsi="Arial" w:cs="Arial"/>
          <w:sz w:val="20"/>
        </w:rPr>
        <w:t xml:space="preserve">. </w:t>
      </w:r>
    </w:p>
    <w:p w14:paraId="0EF90B32" w14:textId="77777777" w:rsidR="009029E8" w:rsidRPr="009029E8" w:rsidRDefault="009029E8" w:rsidP="007F3C0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6D7244B0" w14:textId="2092440D" w:rsidR="000D08EF" w:rsidRDefault="009029E8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t xml:space="preserve">Les demandes de disponibilité sont accordées de droit ou sous réserve de nécessité de continuité </w:t>
      </w:r>
      <w:r w:rsidR="005D7D19">
        <w:rPr>
          <w:rFonts w:ascii="Arial" w:eastAsia="Arial" w:hAnsi="Arial" w:cs="Arial"/>
          <w:sz w:val="20"/>
        </w:rPr>
        <w:t xml:space="preserve">et de </w:t>
      </w:r>
      <w:r w:rsidR="00C361BD">
        <w:rPr>
          <w:rFonts w:ascii="Arial" w:eastAsia="Arial" w:hAnsi="Arial" w:cs="Arial"/>
          <w:sz w:val="20"/>
        </w:rPr>
        <w:t>fonctionnement du service</w:t>
      </w:r>
      <w:r w:rsidRPr="009029E8">
        <w:rPr>
          <w:rFonts w:ascii="Arial" w:eastAsia="Arial" w:hAnsi="Arial" w:cs="Arial"/>
          <w:sz w:val="20"/>
        </w:rPr>
        <w:t xml:space="preserve"> public d’éducation, notamment des besoins en ressources enseignantes. Elles seront accordées à compter du 1</w:t>
      </w:r>
      <w:r w:rsidRPr="009029E8">
        <w:rPr>
          <w:rFonts w:ascii="Arial" w:eastAsia="Arial" w:hAnsi="Arial" w:cs="Arial"/>
          <w:sz w:val="20"/>
          <w:vertAlign w:val="superscript"/>
        </w:rPr>
        <w:t>er</w:t>
      </w:r>
      <w:r w:rsidR="002563F3">
        <w:rPr>
          <w:rFonts w:ascii="Arial" w:eastAsia="Arial" w:hAnsi="Arial" w:cs="Arial"/>
          <w:sz w:val="20"/>
        </w:rPr>
        <w:t xml:space="preserve"> s</w:t>
      </w:r>
      <w:r w:rsidR="001F58F2">
        <w:rPr>
          <w:rFonts w:ascii="Arial" w:eastAsia="Arial" w:hAnsi="Arial" w:cs="Arial"/>
          <w:sz w:val="20"/>
        </w:rPr>
        <w:t>eptembre 2026</w:t>
      </w:r>
      <w:r w:rsidRPr="009029E8">
        <w:rPr>
          <w:rFonts w:ascii="Arial" w:eastAsia="Arial" w:hAnsi="Arial" w:cs="Arial"/>
          <w:sz w:val="20"/>
        </w:rPr>
        <w:t xml:space="preserve"> pour la durée de l'année scolaire. Les professeurs des écoles stagiaires peuvent demander à être placés en disponibilité sous réserve qu’ils soient titularisés au 1</w:t>
      </w:r>
      <w:r w:rsidRPr="009029E8">
        <w:rPr>
          <w:rFonts w:ascii="Arial" w:eastAsia="Arial" w:hAnsi="Arial" w:cs="Arial"/>
          <w:sz w:val="20"/>
          <w:vertAlign w:val="superscript"/>
        </w:rPr>
        <w:t>er</w:t>
      </w:r>
      <w:r w:rsidR="001F58F2">
        <w:rPr>
          <w:rFonts w:ascii="Arial" w:eastAsia="Arial" w:hAnsi="Arial" w:cs="Arial"/>
          <w:sz w:val="20"/>
        </w:rPr>
        <w:t xml:space="preserve"> septembre 2026</w:t>
      </w:r>
      <w:r w:rsidRPr="009029E8">
        <w:rPr>
          <w:rFonts w:ascii="Arial" w:eastAsia="Arial" w:hAnsi="Arial" w:cs="Arial"/>
          <w:sz w:val="20"/>
        </w:rPr>
        <w:t>.</w:t>
      </w:r>
    </w:p>
    <w:p w14:paraId="1B87A7C9" w14:textId="3E749E50" w:rsidR="009029E8" w:rsidRPr="00625E45" w:rsidRDefault="009029E8" w:rsidP="00625E45">
      <w:pPr>
        <w:pStyle w:val="Titre1"/>
        <w:numPr>
          <w:ilvl w:val="0"/>
          <w:numId w:val="5"/>
        </w:numPr>
        <w:rPr>
          <w:rFonts w:eastAsia="Arial"/>
        </w:rPr>
      </w:pPr>
      <w:r w:rsidRPr="00683EF9">
        <w:rPr>
          <w:rFonts w:eastAsia="Arial"/>
        </w:rPr>
        <w:t>LES TYPES DE DISPONIBILITÉ</w:t>
      </w:r>
    </w:p>
    <w:p w14:paraId="043B439D" w14:textId="77777777" w:rsidR="003A0A08" w:rsidRDefault="003A0A08" w:rsidP="009029E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</w:rPr>
      </w:pPr>
    </w:p>
    <w:p w14:paraId="3E3C879C" w14:textId="02F175A7" w:rsidR="001B7461" w:rsidRDefault="009029E8" w:rsidP="009029E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</w:rPr>
      </w:pPr>
      <w:r w:rsidRPr="009029E8">
        <w:rPr>
          <w:rFonts w:ascii="Arial" w:eastAsia="Arial" w:hAnsi="Arial" w:cs="Arial"/>
          <w:b/>
          <w:sz w:val="20"/>
        </w:rPr>
        <w:t>Les disponibilités sont de droit:</w:t>
      </w:r>
    </w:p>
    <w:p w14:paraId="332B515A" w14:textId="77777777" w:rsidR="001B7461" w:rsidRDefault="009029E8" w:rsidP="009029E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élever un enfant de moins de 12 ans</w:t>
      </w:r>
      <w:r w:rsidR="001B7461" w:rsidRPr="001B7461">
        <w:rPr>
          <w:rFonts w:ascii="Arial" w:eastAsia="Arial" w:hAnsi="Arial" w:cs="Arial"/>
          <w:sz w:val="20"/>
        </w:rPr>
        <w:t> ;</w:t>
      </w:r>
    </w:p>
    <w:p w14:paraId="1FDCAFD5" w14:textId="77777777" w:rsidR="001B7461" w:rsidRDefault="009029E8" w:rsidP="001B7461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suivre un con</w:t>
      </w:r>
      <w:r w:rsidR="001B7461">
        <w:rPr>
          <w:rFonts w:ascii="Arial" w:eastAsia="Arial" w:hAnsi="Arial" w:cs="Arial"/>
          <w:sz w:val="20"/>
        </w:rPr>
        <w:t>joint ou un partenaire de Pacs,</w:t>
      </w:r>
    </w:p>
    <w:p w14:paraId="70523274" w14:textId="77777777" w:rsidR="001B7461" w:rsidRDefault="001B7461" w:rsidP="009029E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</w:t>
      </w:r>
      <w:r w:rsidR="009029E8" w:rsidRPr="001B7461">
        <w:rPr>
          <w:rFonts w:ascii="Arial" w:eastAsia="Arial" w:hAnsi="Arial" w:cs="Arial"/>
          <w:sz w:val="20"/>
        </w:rPr>
        <w:t>our ado</w:t>
      </w:r>
      <w:r>
        <w:rPr>
          <w:rFonts w:ascii="Arial" w:eastAsia="Arial" w:hAnsi="Arial" w:cs="Arial"/>
          <w:sz w:val="20"/>
        </w:rPr>
        <w:t>pter un ou plusieurs enfant(s),</w:t>
      </w:r>
    </w:p>
    <w:p w14:paraId="1C666F33" w14:textId="77777777" w:rsidR="001B7461" w:rsidRDefault="009029E8" w:rsidP="009029E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donner des soins à un proche,</w:t>
      </w:r>
    </w:p>
    <w:p w14:paraId="20C4B01A" w14:textId="77777777" w:rsidR="009029E8" w:rsidRPr="001B7461" w:rsidRDefault="009029E8" w:rsidP="009029E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exercer un mandat électoral.</w:t>
      </w:r>
    </w:p>
    <w:p w14:paraId="7DB5A868" w14:textId="77777777" w:rsidR="001B7461" w:rsidRDefault="009029E8" w:rsidP="009029E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</w:rPr>
      </w:pPr>
      <w:r w:rsidRPr="009029E8">
        <w:rPr>
          <w:rFonts w:ascii="Arial" w:eastAsia="Arial" w:hAnsi="Arial" w:cs="Arial"/>
          <w:sz w:val="20"/>
        </w:rPr>
        <w:br/>
      </w:r>
      <w:r w:rsidRPr="009029E8">
        <w:rPr>
          <w:rFonts w:ascii="Arial" w:eastAsia="Arial" w:hAnsi="Arial" w:cs="Arial"/>
          <w:b/>
          <w:sz w:val="20"/>
        </w:rPr>
        <w:t>Les disponibilités sont sur autorisation:</w:t>
      </w:r>
      <w:r w:rsidR="001B7461">
        <w:rPr>
          <w:rFonts w:ascii="Arial" w:eastAsia="Arial" w:hAnsi="Arial" w:cs="Arial"/>
          <w:b/>
          <w:sz w:val="20"/>
        </w:rPr>
        <w:t xml:space="preserve"> </w:t>
      </w:r>
    </w:p>
    <w:p w14:paraId="3D0A869B" w14:textId="77777777" w:rsidR="001B7461" w:rsidRDefault="009029E8" w:rsidP="001B7461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convenances personnelles,</w:t>
      </w:r>
    </w:p>
    <w:p w14:paraId="57DAC6A4" w14:textId="77777777" w:rsidR="001B7461" w:rsidRDefault="009029E8" w:rsidP="009029E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pour études ou recherche d’intérêt général,</w:t>
      </w:r>
    </w:p>
    <w:p w14:paraId="7F0375B7" w14:textId="77777777" w:rsidR="009029E8" w:rsidRPr="001B7461" w:rsidRDefault="009029E8" w:rsidP="009029E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créer ou reprendre une entreprise.</w:t>
      </w:r>
    </w:p>
    <w:p w14:paraId="42C7DC26" w14:textId="77777777" w:rsidR="009029E8" w:rsidRPr="009029E8" w:rsidRDefault="009029E8" w:rsidP="009029E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</w:p>
    <w:p w14:paraId="68359B44" w14:textId="0735FD12" w:rsidR="00DE6CB4" w:rsidRDefault="009029E8" w:rsidP="00DE6CB4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t xml:space="preserve">La disponibilité pour convenance personnelle </w:t>
      </w:r>
      <w:r w:rsidRPr="00170379">
        <w:rPr>
          <w:rFonts w:ascii="Arial" w:eastAsia="Arial" w:hAnsi="Arial" w:cs="Arial"/>
          <w:b/>
          <w:sz w:val="20"/>
        </w:rPr>
        <w:t xml:space="preserve">ne peut </w:t>
      </w:r>
      <w:r w:rsidRPr="00170379">
        <w:rPr>
          <w:rFonts w:ascii="Arial" w:eastAsia="Arial" w:hAnsi="Arial" w:cs="Arial"/>
          <w:b/>
          <w:sz w:val="20"/>
          <w:u w:val="single"/>
        </w:rPr>
        <w:t>excéder 10 ans</w:t>
      </w:r>
      <w:r w:rsidRPr="00170379">
        <w:rPr>
          <w:rFonts w:ascii="Arial" w:eastAsia="Arial" w:hAnsi="Arial" w:cs="Arial"/>
          <w:b/>
          <w:sz w:val="20"/>
        </w:rPr>
        <w:t xml:space="preserve"> sur l’ensemble de la carrière</w:t>
      </w:r>
      <w:r w:rsidRPr="009029E8">
        <w:rPr>
          <w:rFonts w:ascii="Arial" w:eastAsia="Arial" w:hAnsi="Arial" w:cs="Arial"/>
          <w:sz w:val="20"/>
        </w:rPr>
        <w:t xml:space="preserve">. </w:t>
      </w:r>
      <w:r w:rsidR="00DE6CB4">
        <w:rPr>
          <w:rFonts w:ascii="Arial" w:eastAsia="Arial" w:hAnsi="Arial" w:cs="Arial"/>
          <w:sz w:val="20"/>
        </w:rPr>
        <w:t xml:space="preserve">Le décret </w:t>
      </w:r>
      <w:r w:rsidR="00DE6CB4" w:rsidRPr="000D08EF">
        <w:rPr>
          <w:rFonts w:ascii="Arial" w:eastAsia="Arial" w:hAnsi="Arial" w:cs="Arial"/>
          <w:sz w:val="20"/>
        </w:rPr>
        <w:t xml:space="preserve">n°2025-1169 du 5 décembre 2025 modifiant certaines conditions de la disponibilité </w:t>
      </w:r>
      <w:r w:rsidR="00DE6CB4">
        <w:rPr>
          <w:rFonts w:ascii="Arial" w:eastAsia="Arial" w:hAnsi="Arial" w:cs="Arial"/>
          <w:sz w:val="20"/>
        </w:rPr>
        <w:t xml:space="preserve">supprime </w:t>
      </w:r>
      <w:r w:rsidR="00DE6CB4" w:rsidRPr="000D08EF">
        <w:rPr>
          <w:rFonts w:ascii="Arial" w:eastAsia="Arial" w:hAnsi="Arial" w:cs="Arial"/>
          <w:sz w:val="20"/>
        </w:rPr>
        <w:t>l'obligation de retour dans l'administration pour une durée d'au moins dix-huit mois continus pour le fonctionnaire souhaitant renouveler sa disponibilité pour convenances personnelles au-delà d'une première période de cinq ans.</w:t>
      </w:r>
    </w:p>
    <w:p w14:paraId="7BC249EE" w14:textId="0BDF590C" w:rsidR="00F44466" w:rsidRPr="00625E45" w:rsidRDefault="009029E8" w:rsidP="00625E45">
      <w:pPr>
        <w:pStyle w:val="Titre1"/>
        <w:numPr>
          <w:ilvl w:val="0"/>
          <w:numId w:val="5"/>
        </w:numPr>
        <w:rPr>
          <w:rFonts w:eastAsia="Arial"/>
        </w:rPr>
      </w:pPr>
      <w:r w:rsidRPr="001B7461">
        <w:rPr>
          <w:rFonts w:eastAsia="Arial"/>
        </w:rPr>
        <w:t>RÉINTÉGRATION APRÈS DISPONIBILITÉ</w:t>
      </w:r>
    </w:p>
    <w:p w14:paraId="69B02290" w14:textId="77777777" w:rsidR="003A0A08" w:rsidRDefault="003A0A08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3DF138F2" w14:textId="709D9D80" w:rsidR="00DE6CB4" w:rsidRDefault="009029E8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lastRenderedPageBreak/>
        <w:t>L’article 49 du décret n° 85-986 du 16 septembre 1985 modifié précise les modalités de réintégration du fonctionnaire à l’issue de la disponibilité :</w:t>
      </w:r>
    </w:p>
    <w:p w14:paraId="764486B7" w14:textId="77777777" w:rsidR="003A0A08" w:rsidRDefault="003A0A08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6595F19A" w14:textId="77777777" w:rsidR="001B7461" w:rsidRPr="001B7461" w:rsidRDefault="009029E8" w:rsidP="00170379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 xml:space="preserve">à l’issue d’une disponibilité pour études ou recherches, création ou reprise d’une entreprise ou convenances personnelles, </w:t>
      </w:r>
      <w:r w:rsidRPr="001B7461">
        <w:rPr>
          <w:rFonts w:ascii="Arial" w:eastAsia="Arial" w:hAnsi="Arial" w:cs="Arial"/>
          <w:i/>
          <w:sz w:val="20"/>
        </w:rPr>
        <w:t>l’une des trois premières vacance</w:t>
      </w:r>
      <w:r w:rsidR="001B7461">
        <w:rPr>
          <w:rFonts w:ascii="Arial" w:eastAsia="Arial" w:hAnsi="Arial" w:cs="Arial"/>
          <w:i/>
          <w:sz w:val="20"/>
        </w:rPr>
        <w:t>s doit être proposée à l’agent,</w:t>
      </w:r>
    </w:p>
    <w:p w14:paraId="446299E1" w14:textId="77777777" w:rsidR="009029E8" w:rsidRPr="001B7461" w:rsidRDefault="009029E8" w:rsidP="00170379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1B7461">
        <w:rPr>
          <w:rFonts w:ascii="Arial" w:eastAsia="Arial" w:hAnsi="Arial" w:cs="Arial"/>
          <w:sz w:val="20"/>
        </w:rPr>
        <w:t>à l’issue d’une disponibilité de droit le fonctionnaire est </w:t>
      </w:r>
      <w:r w:rsidRPr="001B7461">
        <w:rPr>
          <w:rFonts w:ascii="Arial" w:eastAsia="Arial" w:hAnsi="Arial" w:cs="Arial"/>
          <w:i/>
          <w:sz w:val="20"/>
        </w:rPr>
        <w:t>obligatoirement réintégré à la première vacance dans son corps d’origine</w:t>
      </w:r>
      <w:r w:rsidRPr="001B7461">
        <w:rPr>
          <w:rFonts w:ascii="Arial" w:eastAsia="Arial" w:hAnsi="Arial" w:cs="Arial"/>
          <w:sz w:val="20"/>
        </w:rPr>
        <w:t xml:space="preserve">. </w:t>
      </w:r>
    </w:p>
    <w:p w14:paraId="15B62D06" w14:textId="77777777" w:rsidR="001B7461" w:rsidRDefault="001B7461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08EA0252" w14:textId="77777777" w:rsidR="009029E8" w:rsidRPr="009029E8" w:rsidRDefault="009029E8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t>L’enseignant</w:t>
      </w:r>
      <w:r w:rsidR="000D5E6B">
        <w:rPr>
          <w:rFonts w:ascii="Arial" w:eastAsia="Arial" w:hAnsi="Arial" w:cs="Arial"/>
          <w:sz w:val="20"/>
        </w:rPr>
        <w:t xml:space="preserve"> ou l’enseignante</w:t>
      </w:r>
      <w:r w:rsidRPr="009029E8">
        <w:rPr>
          <w:rFonts w:ascii="Arial" w:eastAsia="Arial" w:hAnsi="Arial" w:cs="Arial"/>
          <w:sz w:val="20"/>
        </w:rPr>
        <w:t xml:space="preserve"> pourra être licencié après avis de la CAPD s’il refuse les postes proposés.</w:t>
      </w:r>
    </w:p>
    <w:p w14:paraId="1467ADAD" w14:textId="77777777" w:rsidR="009029E8" w:rsidRPr="009029E8" w:rsidRDefault="009029E8" w:rsidP="0017037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687E8DED" w14:textId="2DEC855B" w:rsidR="009029E8" w:rsidRPr="009029E8" w:rsidRDefault="009029E8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CD46B3">
        <w:rPr>
          <w:rFonts w:ascii="Arial" w:eastAsia="Arial" w:hAnsi="Arial" w:cs="Arial"/>
          <w:sz w:val="20"/>
        </w:rPr>
        <w:t>La réintégration du fonctionnaire est subordonnée à la condition d’aptitude physique à l’exercice des fonctions. Ainsi, avant toute p</w:t>
      </w:r>
      <w:r w:rsidR="00C361BD" w:rsidRPr="00CD46B3">
        <w:rPr>
          <w:rFonts w:ascii="Arial" w:eastAsia="Arial" w:hAnsi="Arial" w:cs="Arial"/>
          <w:sz w:val="20"/>
        </w:rPr>
        <w:t xml:space="preserve">rise des fonctions au </w:t>
      </w:r>
      <w:r w:rsidR="00683EF9" w:rsidRPr="00CD46B3">
        <w:rPr>
          <w:rFonts w:ascii="Arial" w:eastAsia="Arial" w:hAnsi="Arial" w:cs="Arial"/>
          <w:sz w:val="20"/>
        </w:rPr>
        <w:t>1</w:t>
      </w:r>
      <w:r w:rsidR="00683EF9" w:rsidRPr="00CD46B3">
        <w:rPr>
          <w:rFonts w:ascii="Arial" w:eastAsia="Arial" w:hAnsi="Arial" w:cs="Arial"/>
          <w:sz w:val="20"/>
          <w:vertAlign w:val="superscript"/>
        </w:rPr>
        <w:t>er</w:t>
      </w:r>
      <w:r w:rsidR="002563F3" w:rsidRPr="00CD46B3">
        <w:rPr>
          <w:rFonts w:ascii="Arial" w:eastAsia="Arial" w:hAnsi="Arial" w:cs="Arial"/>
          <w:sz w:val="20"/>
        </w:rPr>
        <w:t xml:space="preserve"> septembre 202</w:t>
      </w:r>
      <w:r w:rsidR="00DE6CB4">
        <w:rPr>
          <w:rFonts w:ascii="Arial" w:eastAsia="Arial" w:hAnsi="Arial" w:cs="Arial"/>
          <w:sz w:val="20"/>
        </w:rPr>
        <w:t>6</w:t>
      </w:r>
      <w:r w:rsidRPr="00CD46B3">
        <w:rPr>
          <w:rFonts w:ascii="Arial" w:eastAsia="Arial" w:hAnsi="Arial" w:cs="Arial"/>
          <w:sz w:val="20"/>
        </w:rPr>
        <w:t xml:space="preserve">, l’enseignant devra obligatoirement procéder à un contrôle médical auprès d’un médecin agréé (liste téléchargeable sur le site de l’ARS d’Île-de-France) et, éventuellement par le </w:t>
      </w:r>
      <w:r w:rsidR="00DE6CB4">
        <w:rPr>
          <w:rFonts w:ascii="Arial" w:eastAsia="Arial" w:hAnsi="Arial" w:cs="Arial"/>
          <w:sz w:val="20"/>
        </w:rPr>
        <w:t>conseil m</w:t>
      </w:r>
      <w:r w:rsidRPr="00CD46B3">
        <w:rPr>
          <w:rFonts w:ascii="Arial" w:eastAsia="Arial" w:hAnsi="Arial" w:cs="Arial"/>
          <w:sz w:val="20"/>
        </w:rPr>
        <w:t>édical après la disponibilité prononcée d’office par l’administration. Le certificat d’aptitude est à transmettre au bureau D</w:t>
      </w:r>
      <w:r w:rsidR="00DE6CB4">
        <w:rPr>
          <w:rFonts w:ascii="Arial" w:eastAsia="Arial" w:hAnsi="Arial" w:cs="Arial"/>
          <w:sz w:val="20"/>
        </w:rPr>
        <w:t>e</w:t>
      </w:r>
      <w:r w:rsidRPr="00CD46B3">
        <w:rPr>
          <w:rFonts w:ascii="Arial" w:eastAsia="Arial" w:hAnsi="Arial" w:cs="Arial"/>
          <w:sz w:val="20"/>
        </w:rPr>
        <w:t>3.</w:t>
      </w:r>
    </w:p>
    <w:p w14:paraId="5A17B342" w14:textId="77777777" w:rsidR="001B7461" w:rsidRDefault="001B7461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5A44D5F9" w14:textId="5F1637D6" w:rsidR="009029E8" w:rsidRPr="005D7D19" w:rsidRDefault="000D5E6B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5D7D19">
        <w:rPr>
          <w:rFonts w:ascii="Arial" w:eastAsia="Arial" w:hAnsi="Arial" w:cs="Arial"/>
          <w:sz w:val="20"/>
        </w:rPr>
        <w:t>L’enseignant</w:t>
      </w:r>
      <w:r w:rsidR="009029E8" w:rsidRPr="005D7D19">
        <w:rPr>
          <w:rFonts w:ascii="Arial" w:eastAsia="Arial" w:hAnsi="Arial" w:cs="Arial"/>
          <w:sz w:val="20"/>
        </w:rPr>
        <w:t xml:space="preserve"> </w:t>
      </w:r>
      <w:r w:rsidRPr="005D7D19">
        <w:rPr>
          <w:rFonts w:ascii="Arial" w:eastAsia="Arial" w:hAnsi="Arial" w:cs="Arial"/>
          <w:sz w:val="20"/>
        </w:rPr>
        <w:t xml:space="preserve">ou l’enseignante concerné </w:t>
      </w:r>
      <w:r w:rsidR="009029E8" w:rsidRPr="005D7D19">
        <w:rPr>
          <w:rFonts w:ascii="Arial" w:eastAsia="Arial" w:hAnsi="Arial" w:cs="Arial"/>
          <w:sz w:val="20"/>
        </w:rPr>
        <w:t>doi</w:t>
      </w:r>
      <w:r w:rsidRPr="005D7D19">
        <w:rPr>
          <w:rFonts w:ascii="Arial" w:eastAsia="Arial" w:hAnsi="Arial" w:cs="Arial"/>
          <w:sz w:val="20"/>
        </w:rPr>
        <w:t>t</w:t>
      </w:r>
      <w:r w:rsidR="009029E8" w:rsidRPr="005D7D19">
        <w:rPr>
          <w:rFonts w:ascii="Arial" w:eastAsia="Arial" w:hAnsi="Arial" w:cs="Arial"/>
          <w:sz w:val="20"/>
        </w:rPr>
        <w:t xml:space="preserve"> participer au mo</w:t>
      </w:r>
      <w:r w:rsidR="009E664B" w:rsidRPr="005D7D19">
        <w:rPr>
          <w:rFonts w:ascii="Arial" w:eastAsia="Arial" w:hAnsi="Arial" w:cs="Arial"/>
          <w:sz w:val="20"/>
        </w:rPr>
        <w:t>uvement intra départemental 202</w:t>
      </w:r>
      <w:r w:rsidR="001F58F2">
        <w:rPr>
          <w:rFonts w:ascii="Arial" w:eastAsia="Arial" w:hAnsi="Arial" w:cs="Arial"/>
          <w:sz w:val="20"/>
        </w:rPr>
        <w:t>6</w:t>
      </w:r>
      <w:r w:rsidR="009029E8" w:rsidRPr="005D7D19">
        <w:rPr>
          <w:rFonts w:ascii="Arial" w:eastAsia="Arial" w:hAnsi="Arial" w:cs="Arial"/>
          <w:sz w:val="20"/>
        </w:rPr>
        <w:t xml:space="preserve"> </w:t>
      </w:r>
      <w:r w:rsidRPr="005D7D19">
        <w:rPr>
          <w:rFonts w:ascii="Arial" w:eastAsia="Arial" w:hAnsi="Arial" w:cs="Arial"/>
          <w:sz w:val="20"/>
        </w:rPr>
        <w:t xml:space="preserve">et demander sa </w:t>
      </w:r>
      <w:r w:rsidR="009029E8" w:rsidRPr="005D7D19">
        <w:rPr>
          <w:rFonts w:ascii="Arial" w:eastAsia="Arial" w:hAnsi="Arial" w:cs="Arial"/>
          <w:sz w:val="20"/>
        </w:rPr>
        <w:t xml:space="preserve">réintégration avant le </w:t>
      </w:r>
      <w:r w:rsidR="00CD46B3" w:rsidRPr="00CD46B3">
        <w:rPr>
          <w:rFonts w:ascii="Arial" w:eastAsia="Arial" w:hAnsi="Arial" w:cs="Arial"/>
          <w:b/>
          <w:sz w:val="20"/>
        </w:rPr>
        <w:t>31</w:t>
      </w:r>
      <w:r w:rsidR="001F58F2">
        <w:rPr>
          <w:rFonts w:ascii="Arial" w:eastAsia="Arial" w:hAnsi="Arial" w:cs="Arial"/>
          <w:b/>
          <w:sz w:val="20"/>
        </w:rPr>
        <w:t xml:space="preserve"> </w:t>
      </w:r>
      <w:r w:rsidR="00F053AA">
        <w:rPr>
          <w:rFonts w:ascii="Arial" w:eastAsia="Arial" w:hAnsi="Arial" w:cs="Arial"/>
          <w:b/>
          <w:sz w:val="20"/>
        </w:rPr>
        <w:t>mai</w:t>
      </w:r>
      <w:r w:rsidR="001F58F2">
        <w:rPr>
          <w:rFonts w:ascii="Arial" w:eastAsia="Arial" w:hAnsi="Arial" w:cs="Arial"/>
          <w:b/>
          <w:sz w:val="20"/>
        </w:rPr>
        <w:t xml:space="preserve"> 2026</w:t>
      </w:r>
      <w:r w:rsidR="00CA3EF5">
        <w:rPr>
          <w:rFonts w:ascii="Arial" w:eastAsia="Arial" w:hAnsi="Arial" w:cs="Arial"/>
          <w:b/>
          <w:sz w:val="20"/>
        </w:rPr>
        <w:t xml:space="preserve"> </w:t>
      </w:r>
      <w:r w:rsidR="00CC35BB" w:rsidRPr="00CD46B3">
        <w:rPr>
          <w:rFonts w:ascii="Arial" w:eastAsia="Arial" w:hAnsi="Arial" w:cs="Arial"/>
          <w:b/>
          <w:sz w:val="20"/>
        </w:rPr>
        <w:t>à 12 heures</w:t>
      </w:r>
      <w:r w:rsidR="00CC35BB" w:rsidRPr="005D7D19">
        <w:rPr>
          <w:rFonts w:ascii="Arial" w:eastAsia="Arial" w:hAnsi="Arial" w:cs="Arial"/>
          <w:sz w:val="20"/>
        </w:rPr>
        <w:t xml:space="preserve"> </w:t>
      </w:r>
      <w:r w:rsidR="009029E8" w:rsidRPr="005D7D19">
        <w:rPr>
          <w:rFonts w:ascii="Arial" w:eastAsia="Arial" w:hAnsi="Arial" w:cs="Arial"/>
          <w:sz w:val="20"/>
        </w:rPr>
        <w:t xml:space="preserve">pour être autorisé à prendre part à ce mouvement. </w:t>
      </w:r>
      <w:r w:rsidRPr="005D7D19">
        <w:rPr>
          <w:rFonts w:ascii="Arial" w:eastAsia="Arial" w:hAnsi="Arial" w:cs="Arial"/>
          <w:sz w:val="20"/>
        </w:rPr>
        <w:t>L</w:t>
      </w:r>
      <w:r w:rsidR="009029E8" w:rsidRPr="005D7D19">
        <w:rPr>
          <w:rFonts w:ascii="Arial" w:eastAsia="Arial" w:hAnsi="Arial" w:cs="Arial"/>
          <w:sz w:val="20"/>
        </w:rPr>
        <w:t xml:space="preserve">a circulaire relative aux opérations du mouvement </w:t>
      </w:r>
      <w:r w:rsidRPr="005D7D19">
        <w:rPr>
          <w:rFonts w:ascii="Arial" w:eastAsia="Arial" w:hAnsi="Arial" w:cs="Arial"/>
          <w:sz w:val="20"/>
        </w:rPr>
        <w:t xml:space="preserve">sera disponible </w:t>
      </w:r>
      <w:r w:rsidR="00683EF9" w:rsidRPr="005D7D19">
        <w:rPr>
          <w:rFonts w:ascii="Arial" w:eastAsia="Arial" w:hAnsi="Arial" w:cs="Arial"/>
          <w:sz w:val="20"/>
        </w:rPr>
        <w:t>dans le courant du mois de</w:t>
      </w:r>
      <w:r w:rsidR="005D7D19" w:rsidRPr="005D7D19">
        <w:rPr>
          <w:rFonts w:ascii="Arial" w:eastAsia="Arial" w:hAnsi="Arial" w:cs="Arial"/>
          <w:b/>
          <w:sz w:val="20"/>
        </w:rPr>
        <w:t xml:space="preserve"> février</w:t>
      </w:r>
      <w:r w:rsidR="001F58F2">
        <w:rPr>
          <w:rFonts w:ascii="Arial" w:eastAsia="Arial" w:hAnsi="Arial" w:cs="Arial"/>
          <w:b/>
          <w:sz w:val="20"/>
        </w:rPr>
        <w:t xml:space="preserve"> 2026</w:t>
      </w:r>
      <w:r w:rsidR="009029E8" w:rsidRPr="005D7D19">
        <w:rPr>
          <w:rFonts w:ascii="Arial" w:eastAsia="Arial" w:hAnsi="Arial" w:cs="Arial"/>
          <w:sz w:val="20"/>
        </w:rPr>
        <w:t xml:space="preserve"> sur le portail internet de l’académie de Paris </w:t>
      </w:r>
      <w:hyperlink r:id="rId7" w:history="1">
        <w:r w:rsidR="009029E8" w:rsidRPr="005D7D19">
          <w:rPr>
            <w:rFonts w:ascii="Arial" w:eastAsia="Arial" w:hAnsi="Arial" w:cs="Arial"/>
            <w:sz w:val="20"/>
            <w:u w:val="single"/>
          </w:rPr>
          <w:t>www.ac-paris.fr</w:t>
        </w:r>
      </w:hyperlink>
      <w:r w:rsidR="009029E8" w:rsidRPr="005D7D19">
        <w:rPr>
          <w:rFonts w:ascii="Arial" w:eastAsia="Arial" w:hAnsi="Arial" w:cs="Arial"/>
          <w:sz w:val="20"/>
        </w:rPr>
        <w:t>.</w:t>
      </w:r>
    </w:p>
    <w:p w14:paraId="1DD199FC" w14:textId="77777777" w:rsidR="009029E8" w:rsidRPr="009029E8" w:rsidRDefault="009029E8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</w:p>
    <w:p w14:paraId="4298F407" w14:textId="3DF11118" w:rsidR="009029E8" w:rsidRPr="009029E8" w:rsidRDefault="009029E8" w:rsidP="009B772B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9029E8">
        <w:rPr>
          <w:rFonts w:ascii="Arial" w:eastAsia="Arial" w:hAnsi="Arial" w:cs="Arial"/>
          <w:sz w:val="20"/>
        </w:rPr>
        <w:t>Une attention particulière est</w:t>
      </w:r>
      <w:r w:rsidR="00F44466">
        <w:rPr>
          <w:rFonts w:ascii="Arial" w:eastAsia="Arial" w:hAnsi="Arial" w:cs="Arial"/>
          <w:sz w:val="20"/>
        </w:rPr>
        <w:t xml:space="preserve"> portée</w:t>
      </w:r>
      <w:r w:rsidRPr="009029E8">
        <w:rPr>
          <w:rFonts w:ascii="Arial" w:eastAsia="Arial" w:hAnsi="Arial" w:cs="Arial"/>
          <w:sz w:val="20"/>
        </w:rPr>
        <w:t xml:space="preserve"> au traitement des situations des enseignants</w:t>
      </w:r>
      <w:r w:rsidR="000D5E6B">
        <w:rPr>
          <w:rFonts w:ascii="Arial" w:eastAsia="Arial" w:hAnsi="Arial" w:cs="Arial"/>
          <w:sz w:val="20"/>
        </w:rPr>
        <w:t xml:space="preserve"> et des enseignantes</w:t>
      </w:r>
      <w:r w:rsidRPr="009029E8">
        <w:rPr>
          <w:rFonts w:ascii="Arial" w:eastAsia="Arial" w:hAnsi="Arial" w:cs="Arial"/>
          <w:sz w:val="20"/>
        </w:rPr>
        <w:t xml:space="preserve"> ayant obtenu une décision de refus de prolongation de leur demande de mise en disponibilité en cours. </w:t>
      </w:r>
      <w:r w:rsidRPr="009029E8">
        <w:rPr>
          <w:rFonts w:ascii="Arial" w:eastAsia="Arial" w:hAnsi="Arial" w:cs="Arial"/>
          <w:b/>
          <w:sz w:val="20"/>
          <w:u w:val="single"/>
        </w:rPr>
        <w:t>Ils</w:t>
      </w:r>
      <w:r w:rsidR="000D5E6B">
        <w:rPr>
          <w:rFonts w:ascii="Arial" w:eastAsia="Arial" w:hAnsi="Arial" w:cs="Arial"/>
          <w:b/>
          <w:sz w:val="20"/>
          <w:u w:val="single"/>
        </w:rPr>
        <w:t xml:space="preserve"> ou elles</w:t>
      </w:r>
      <w:r w:rsidRPr="009029E8">
        <w:rPr>
          <w:rFonts w:ascii="Arial" w:eastAsia="Arial" w:hAnsi="Arial" w:cs="Arial"/>
          <w:b/>
          <w:sz w:val="20"/>
          <w:u w:val="single"/>
        </w:rPr>
        <w:t xml:space="preserve"> doivent </w:t>
      </w:r>
      <w:r w:rsidR="002563F3">
        <w:rPr>
          <w:rFonts w:ascii="Arial" w:eastAsia="Arial" w:hAnsi="Arial" w:cs="Arial"/>
          <w:b/>
          <w:sz w:val="20"/>
          <w:u w:val="single"/>
        </w:rPr>
        <w:t>déposer</w:t>
      </w:r>
      <w:r w:rsidRPr="009029E8">
        <w:rPr>
          <w:rFonts w:ascii="Arial" w:eastAsia="Arial" w:hAnsi="Arial" w:cs="Arial"/>
          <w:b/>
          <w:sz w:val="20"/>
          <w:u w:val="single"/>
        </w:rPr>
        <w:t xml:space="preserve"> leur</w:t>
      </w:r>
      <w:r w:rsidR="002563F3">
        <w:rPr>
          <w:rFonts w:ascii="Arial" w:eastAsia="Arial" w:hAnsi="Arial" w:cs="Arial"/>
          <w:b/>
          <w:sz w:val="20"/>
          <w:u w:val="single"/>
        </w:rPr>
        <w:t xml:space="preserve"> demande de</w:t>
      </w:r>
      <w:r w:rsidRPr="009029E8">
        <w:rPr>
          <w:rFonts w:ascii="Arial" w:eastAsia="Arial" w:hAnsi="Arial" w:cs="Arial"/>
          <w:b/>
          <w:sz w:val="20"/>
          <w:u w:val="single"/>
        </w:rPr>
        <w:t xml:space="preserve"> réinté</w:t>
      </w:r>
      <w:r w:rsidR="00C361BD">
        <w:rPr>
          <w:rFonts w:ascii="Arial" w:eastAsia="Arial" w:hAnsi="Arial" w:cs="Arial"/>
          <w:b/>
          <w:sz w:val="20"/>
          <w:u w:val="single"/>
        </w:rPr>
        <w:t>gration</w:t>
      </w:r>
      <w:r w:rsidR="002563F3">
        <w:rPr>
          <w:rFonts w:ascii="Arial" w:eastAsia="Arial" w:hAnsi="Arial" w:cs="Arial"/>
          <w:b/>
          <w:sz w:val="20"/>
          <w:u w:val="single"/>
        </w:rPr>
        <w:t xml:space="preserve"> sur l’application Delta</w:t>
      </w:r>
      <w:r w:rsidR="00C361BD">
        <w:rPr>
          <w:rFonts w:ascii="Arial" w:eastAsia="Arial" w:hAnsi="Arial" w:cs="Arial"/>
          <w:b/>
          <w:sz w:val="20"/>
          <w:u w:val="single"/>
        </w:rPr>
        <w:t xml:space="preserve"> a</w:t>
      </w:r>
      <w:r w:rsidR="001F58F2">
        <w:rPr>
          <w:rFonts w:ascii="Arial" w:eastAsia="Arial" w:hAnsi="Arial" w:cs="Arial"/>
          <w:b/>
          <w:sz w:val="20"/>
          <w:u w:val="single"/>
        </w:rPr>
        <w:t>u plus tard avant le 31 mai 2026</w:t>
      </w:r>
      <w:r w:rsidRPr="009029E8">
        <w:rPr>
          <w:rFonts w:ascii="Arial" w:eastAsia="Arial" w:hAnsi="Arial" w:cs="Arial"/>
          <w:sz w:val="20"/>
        </w:rPr>
        <w:t xml:space="preserve"> au risque d’être radié</w:t>
      </w:r>
      <w:r w:rsidR="000D5E6B">
        <w:rPr>
          <w:rFonts w:ascii="Arial" w:eastAsia="Arial" w:hAnsi="Arial" w:cs="Arial"/>
          <w:sz w:val="20"/>
        </w:rPr>
        <w:t xml:space="preserve">(e) </w:t>
      </w:r>
      <w:r w:rsidRPr="009029E8">
        <w:rPr>
          <w:rFonts w:ascii="Arial" w:eastAsia="Arial" w:hAnsi="Arial" w:cs="Arial"/>
          <w:sz w:val="20"/>
        </w:rPr>
        <w:t>s des cadres pour abandon de poste ou rupture de lien avec l’administration à la rentrée 202</w:t>
      </w:r>
      <w:r w:rsidR="001F58F2">
        <w:rPr>
          <w:rFonts w:ascii="Arial" w:eastAsia="Arial" w:hAnsi="Arial" w:cs="Arial"/>
          <w:sz w:val="20"/>
        </w:rPr>
        <w:t>6</w:t>
      </w:r>
      <w:r w:rsidRPr="009029E8">
        <w:rPr>
          <w:rFonts w:ascii="Arial" w:eastAsia="Arial" w:hAnsi="Arial" w:cs="Arial"/>
          <w:sz w:val="20"/>
        </w:rPr>
        <w:t xml:space="preserve">. </w:t>
      </w:r>
    </w:p>
    <w:p w14:paraId="7D3CD8DD" w14:textId="77777777" w:rsidR="00BD05C5" w:rsidRPr="00683EF9" w:rsidRDefault="00D92A8D" w:rsidP="00683EF9">
      <w:pPr>
        <w:pStyle w:val="Titre1"/>
        <w:jc w:val="center"/>
        <w:rPr>
          <w:rFonts w:eastAsia="ヒラギノ角ゴ Pro W3"/>
        </w:rPr>
      </w:pPr>
      <w:r w:rsidRPr="00683EF9">
        <w:rPr>
          <w:rFonts w:eastAsia="ヒラギノ角ゴ Pro W3"/>
        </w:rPr>
        <w:t>D</w:t>
      </w:r>
      <w:r w:rsidR="00BD05C5" w:rsidRPr="00683EF9">
        <w:rPr>
          <w:rFonts w:eastAsia="ヒラギノ角ゴ Pro W3"/>
        </w:rPr>
        <w:t>IFFERENTS TYPES DE DISPONIBILITÉ</w:t>
      </w:r>
    </w:p>
    <w:p w14:paraId="22588D33" w14:textId="77777777" w:rsidR="00BD05C5" w:rsidRPr="00C053FF" w:rsidRDefault="00BD05C5" w:rsidP="00BD05C5">
      <w:pPr>
        <w:spacing w:after="0" w:line="280" w:lineRule="exact"/>
        <w:ind w:left="-1701"/>
        <w:jc w:val="center"/>
        <w:rPr>
          <w:rFonts w:ascii="Arial" w:eastAsia="ヒラギノ角ゴ Pro W3" w:hAnsi="Arial" w:cs="Arial"/>
          <w:color w:val="000000"/>
          <w:sz w:val="20"/>
        </w:rPr>
      </w:pPr>
      <w:r w:rsidRPr="00C053FF">
        <w:rPr>
          <w:rFonts w:ascii="Arial" w:eastAsia="ヒラギノ角ゴ Pro W3" w:hAnsi="Arial" w:cs="Arial"/>
          <w:color w:val="000000"/>
          <w:sz w:val="20"/>
        </w:rPr>
        <w:t>(cf. décret n°85-986 du 16 septembre 1985 modifié)</w:t>
      </w:r>
    </w:p>
    <w:p w14:paraId="3A2D9B32" w14:textId="77777777" w:rsidR="00BD05C5" w:rsidRPr="00BD05C5" w:rsidRDefault="00BD05C5" w:rsidP="00BD05C5">
      <w:pPr>
        <w:spacing w:after="0" w:line="240" w:lineRule="auto"/>
        <w:ind w:left="-1701"/>
        <w:rPr>
          <w:rFonts w:ascii="Arial" w:eastAsia="ヒラギノ角ゴ Pro W3" w:hAnsi="Arial" w:cs="Arial"/>
          <w:color w:val="000000"/>
          <w:sz w:val="6"/>
          <w:szCs w:val="6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2551"/>
        <w:gridCol w:w="3303"/>
      </w:tblGrid>
      <w:tr w:rsidR="00BD05C5" w:rsidRPr="001A0F3C" w14:paraId="797ED25F" w14:textId="77777777" w:rsidTr="00145869">
        <w:trPr>
          <w:trHeight w:val="1247"/>
          <w:jc w:val="center"/>
        </w:trPr>
        <w:tc>
          <w:tcPr>
            <w:tcW w:w="2864" w:type="dxa"/>
            <w:shd w:val="clear" w:color="auto" w:fill="E7E6E6" w:themeFill="background2"/>
            <w:vAlign w:val="center"/>
          </w:tcPr>
          <w:p w14:paraId="02A79373" w14:textId="77777777" w:rsidR="00BD05C5" w:rsidRPr="00381A61" w:rsidRDefault="00BD05C5" w:rsidP="00381A61">
            <w:pPr>
              <w:spacing w:before="360" w:after="0" w:line="280" w:lineRule="exact"/>
              <w:jc w:val="center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Type de disponibilité</w:t>
            </w: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br/>
              <w:t>sollicitée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1D064C9" w14:textId="77777777" w:rsidR="00BD05C5" w:rsidRPr="00381A61" w:rsidRDefault="00BD05C5" w:rsidP="00381A61">
            <w:pPr>
              <w:spacing w:before="60" w:after="0" w:line="280" w:lineRule="exact"/>
              <w:jc w:val="center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Durée maximale</w:t>
            </w: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br/>
              <w:t>autorisée dans</w:t>
            </w: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br/>
              <w:t>la carrière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2B77432" w14:textId="77777777" w:rsidR="00381A61" w:rsidRPr="00381A61" w:rsidRDefault="00BD05C5" w:rsidP="00381A61">
            <w:pPr>
              <w:spacing w:before="240" w:after="0" w:line="280" w:lineRule="exact"/>
              <w:jc w:val="center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Pièce(s) justificative(s)</w:t>
            </w: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br/>
              <w:t>à joindre</w:t>
            </w: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br/>
              <w:t>à l’appui de la demande</w:t>
            </w:r>
          </w:p>
        </w:tc>
        <w:tc>
          <w:tcPr>
            <w:tcW w:w="3303" w:type="dxa"/>
            <w:shd w:val="clear" w:color="auto" w:fill="E7E6E6" w:themeFill="background2"/>
            <w:vAlign w:val="center"/>
          </w:tcPr>
          <w:p w14:paraId="32F198C7" w14:textId="77777777" w:rsidR="00BD05C5" w:rsidRPr="00381A61" w:rsidRDefault="00BD05C5" w:rsidP="00381A61">
            <w:pPr>
              <w:spacing w:before="480" w:after="60" w:line="280" w:lineRule="exact"/>
              <w:jc w:val="center"/>
              <w:outlineLvl w:val="6"/>
              <w:rPr>
                <w:rFonts w:ascii="Arial" w:eastAsia="Times New Roman" w:hAnsi="Arial" w:cs="Arial"/>
                <w:b/>
                <w:sz w:val="18"/>
                <w:szCs w:val="18"/>
                <w:lang w:eastAsia="fr-FR" w:bidi="he-IL"/>
              </w:rPr>
            </w:pPr>
            <w:r w:rsidRPr="00381A61">
              <w:rPr>
                <w:rFonts w:ascii="Arial" w:eastAsia="Times New Roman" w:hAnsi="Arial" w:cs="Arial"/>
                <w:b/>
                <w:sz w:val="18"/>
                <w:szCs w:val="18"/>
                <w:lang w:eastAsia="fr-FR" w:bidi="he-IL"/>
              </w:rPr>
              <w:t>Observations</w:t>
            </w:r>
          </w:p>
        </w:tc>
      </w:tr>
      <w:tr w:rsidR="00BD05C5" w:rsidRPr="001A0F3C" w14:paraId="47A84E11" w14:textId="77777777" w:rsidTr="00145869">
        <w:trPr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11597CAD" w14:textId="77777777" w:rsidR="00CD0535" w:rsidRPr="00381A61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pour études ou recherches présentant un intérêt général</w:t>
            </w:r>
          </w:p>
          <w:p w14:paraId="2A49093B" w14:textId="77777777" w:rsidR="00BD05C5" w:rsidRDefault="00CD053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CD0535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 xml:space="preserve">Art. 44 alinéa a </w:t>
            </w:r>
          </w:p>
          <w:p w14:paraId="3110BD8F" w14:textId="70C3191C" w:rsidR="00F44466" w:rsidRPr="00CD0535" w:rsidRDefault="00F44466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44E014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6 ans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5543E4" w14:textId="34E33CCC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A0F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Certificat de scolarité.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51A7FDC" w14:textId="77777777" w:rsidR="00D92A8D" w:rsidRPr="001A0F3C" w:rsidRDefault="00BD05C5" w:rsidP="001458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A0F3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Cette disponibilité n’est pas de droit. </w:t>
            </w:r>
          </w:p>
          <w:p w14:paraId="54A7E27A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A0F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Aucune activité salariée n’est autorisée pendant cette période.</w:t>
            </w:r>
          </w:p>
        </w:tc>
      </w:tr>
      <w:tr w:rsidR="00BD05C5" w:rsidRPr="001A0F3C" w14:paraId="1A5D6A04" w14:textId="77777777" w:rsidTr="00145869">
        <w:trPr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1EC7C3A9" w14:textId="77777777" w:rsidR="00BD05C5" w:rsidRPr="00381A61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pour convenances</w:t>
            </w:r>
          </w:p>
          <w:p w14:paraId="72AAFC6F" w14:textId="7671694E" w:rsidR="00CD0535" w:rsidRPr="00F44466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Personnelles</w:t>
            </w:r>
            <w:r w:rsidR="00CD0535"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24A31979" w14:textId="3B8ECFB5" w:rsidR="00BD05C5" w:rsidRPr="00CD0535" w:rsidRDefault="00CD053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CD0535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44 alinéa 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150735" w14:textId="7ED7E590" w:rsidR="00BD05C5" w:rsidRPr="001A0F3C" w:rsidRDefault="00683EF9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10</w:t>
            </w:r>
            <w:r w:rsidR="00FA0D03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 ans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24455" w14:textId="0CA02598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Toutes pièces justificatives de nature à éclairer l'administration dans sa décision.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4C4670A" w14:textId="77777777" w:rsidR="00D92A8D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 xml:space="preserve">Cette disponibilité n’est pas de droit. </w:t>
            </w:r>
          </w:p>
          <w:p w14:paraId="2DB1D5A2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Possibilité d’exercer une activité salariée pendant cette période</w:t>
            </w:r>
            <w:r w:rsidR="00683EF9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 sous réserve de l’autorisation de l’administration</w:t>
            </w: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D05C5" w:rsidRPr="001A0F3C" w14:paraId="1B95E938" w14:textId="77777777" w:rsidTr="00145869">
        <w:trPr>
          <w:trHeight w:val="2435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5B2404A0" w14:textId="4EF3EA49" w:rsidR="00BD05C5" w:rsidRPr="00F44466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pour créer ou prendre une entreprise au sens de l’article</w:t>
            </w:r>
          </w:p>
          <w:p w14:paraId="0FD259E0" w14:textId="77777777" w:rsidR="00BD05C5" w:rsidRPr="00381A61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46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CEA17F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2 ans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1644AC" w14:textId="76CEF6A2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Certificat K-bis ou extrait du registre du commerce pour la création ou la reprise d’une entreprise ; </w:t>
            </w:r>
          </w:p>
          <w:p w14:paraId="66557BE2" w14:textId="7CD88A73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Formulaire CERFA pour les entreprises agricoles ;</w:t>
            </w:r>
          </w:p>
          <w:p w14:paraId="787E819D" w14:textId="1A4469AC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Déclaration d’activités auprès du centre des formalités des entreprises pour les auto-entrepreneurs.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83F4F2F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Cette disponibilité n’est pas de droit.</w:t>
            </w: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br/>
            </w:r>
          </w:p>
          <w:p w14:paraId="1FCD8E53" w14:textId="77777777" w:rsidR="00BD05C5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L’intéressé(e) doit avoir accompli au moins trois années de services effectifs dans l'administration. </w:t>
            </w:r>
          </w:p>
          <w:p w14:paraId="2BD9CE3C" w14:textId="77777777" w:rsidR="004B08EB" w:rsidRPr="001A0F3C" w:rsidRDefault="004B08EB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  <w:p w14:paraId="5DC9A398" w14:textId="77777777" w:rsidR="00BD05C5" w:rsidRPr="001A0F3C" w:rsidRDefault="00683EF9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Possibilité d’exercer une activité salariée pendant cette période sous réserve de l’autorisation de l’administration.</w:t>
            </w:r>
          </w:p>
        </w:tc>
      </w:tr>
      <w:tr w:rsidR="00BD05C5" w:rsidRPr="001A0F3C" w14:paraId="7C05C478" w14:textId="77777777" w:rsidTr="00145869">
        <w:trPr>
          <w:trHeight w:val="3008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6120CB81" w14:textId="77777777" w:rsidR="00381A61" w:rsidRPr="00381A61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lastRenderedPageBreak/>
              <w:t>Disponibilité pour élever un enfant âgé de moins de 12 ans, pour donner des soins à un enfant à charge, au conjoint, au partenaire avec lequel l’agent est lié par un pacte civil de solidarité, à un ascendant à la suite d’un accident ou d’une maladie grave ou atteint d’un handicap nécessitant la présence d’une tierce personne</w:t>
            </w:r>
          </w:p>
          <w:p w14:paraId="2C86EA54" w14:textId="654DD857" w:rsidR="00BD05C5" w:rsidRPr="00381A61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47 alinéa 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86371" w14:textId="66249361" w:rsidR="00BD05C5" w:rsidRPr="001A0F3C" w:rsidRDefault="00F44466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Jusqu’au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 12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  <w:vertAlign w:val="superscript"/>
              </w:rPr>
              <w:t>ème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 anniversaire de l’enfant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br/>
            </w:r>
          </w:p>
          <w:p w14:paraId="5E6BD877" w14:textId="74A3C032" w:rsidR="00BD05C5" w:rsidRPr="001A0F3C" w:rsidRDefault="00F44466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Illimitée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 xml:space="preserve"> pour donner des soins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5C3514" w14:textId="03AE7829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Copie du livret de famille s’il s’agit d’élever un enfant, certificat médical dans les autres cas.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E6D3706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de droit.</w:t>
            </w: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br/>
            </w:r>
          </w:p>
          <w:p w14:paraId="6EE4DD8F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  <w:p w14:paraId="5D14A4DE" w14:textId="77777777" w:rsidR="00BD05C5" w:rsidRPr="001A0F3C" w:rsidRDefault="00981959" w:rsidP="001458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A0F3C">
              <w:rPr>
                <w:rFonts w:ascii="Arial" w:hAnsi="Arial" w:cs="Arial"/>
                <w:sz w:val="18"/>
                <w:szCs w:val="18"/>
              </w:rPr>
              <w:t xml:space="preserve">Possibilité d’exercer une activité privée </w:t>
            </w:r>
            <w:r w:rsidR="00D92A8D" w:rsidRPr="001A0F3C">
              <w:rPr>
                <w:rFonts w:ascii="Arial" w:hAnsi="Arial" w:cs="Arial"/>
                <w:sz w:val="18"/>
                <w:szCs w:val="18"/>
              </w:rPr>
              <w:t xml:space="preserve">pendant la disponibilité pour élever un enfant de moins de 12 ans </w:t>
            </w:r>
            <w:r w:rsidRPr="001A0F3C">
              <w:rPr>
                <w:rFonts w:ascii="Arial" w:hAnsi="Arial" w:cs="Arial"/>
                <w:sz w:val="18"/>
                <w:szCs w:val="18"/>
              </w:rPr>
              <w:t>dès lors que cette activité lui laisse le temps nécessaire pour s'occuper de son enfant.</w:t>
            </w:r>
          </w:p>
        </w:tc>
      </w:tr>
      <w:tr w:rsidR="00BD05C5" w:rsidRPr="001A0F3C" w14:paraId="312EBFBB" w14:textId="77777777" w:rsidTr="00145869">
        <w:trPr>
          <w:trHeight w:val="2385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044F180C" w14:textId="77777777" w:rsidR="00381A61" w:rsidRPr="00381A61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pour suivre son conjoint ou le partenaire avec lequel l’agent est lié par un pacte civil de solidarité lorsque celui-ci est astreint à établir sa résidence habituelle, en raison de sa profession, en un lieu éloigné du lieu d’exercice des fonctions du fonctionnaire</w:t>
            </w:r>
          </w:p>
          <w:p w14:paraId="695A3FED" w14:textId="77777777" w:rsidR="00BD05C5" w:rsidRPr="00381A61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47 alinéa 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535072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Illimitée</w:t>
            </w:r>
          </w:p>
          <w:p w14:paraId="05420E18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2358AE" w14:textId="77777777" w:rsidR="00BD05C5" w:rsidRPr="001A0F3C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-</w:t>
            </w:r>
            <w:r w:rsidR="00BD05C5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Copie du livret de famille et attestation récente et traduite par un traducteur assermenté de l’employeur du conjoint.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310DDA43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de droit.</w:t>
            </w: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br/>
            </w:r>
          </w:p>
          <w:p w14:paraId="7B7B0804" w14:textId="77777777" w:rsidR="00BD05C5" w:rsidRPr="001A0F3C" w:rsidRDefault="00BD05C5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  <w:p w14:paraId="39EF6CD3" w14:textId="77777777" w:rsidR="00BD05C5" w:rsidRPr="001A0F3C" w:rsidRDefault="00683EF9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Possibilité d’exercer une activité salariée pendant cette période sous réserve de l’autorisation de l’administration.</w:t>
            </w:r>
          </w:p>
        </w:tc>
      </w:tr>
      <w:tr w:rsidR="00DB4FDD" w:rsidRPr="001A0F3C" w14:paraId="0CF13D58" w14:textId="77777777" w:rsidTr="00145869">
        <w:trPr>
          <w:trHeight w:val="1556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697E440B" w14:textId="77777777" w:rsidR="00381A61" w:rsidRPr="00381A61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 xml:space="preserve">Disponibilité pour se rendre dans les DOM., les COM., en Nouvelle-Calédonie, ou à l’étranger en vue de l’adoption d’un ou plusieurs enfants </w:t>
            </w:r>
          </w:p>
          <w:p w14:paraId="2C055568" w14:textId="31344047" w:rsidR="00DB4FDD" w:rsidRPr="00381A61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47 alinéa 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AA3079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6 semaines par agrément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128CEB" w14:textId="77777777" w:rsidR="00DB4FDD" w:rsidRPr="001A0F3C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-</w:t>
            </w:r>
            <w:r w:rsidR="00DB4FDD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Copie de l’agrément mentionné aux articles L. 225-2 et L.225-17 du code de l’action sociale et des familles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49B4C99E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de droit.</w:t>
            </w:r>
          </w:p>
          <w:p w14:paraId="37A79FB8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</w:p>
          <w:p w14:paraId="34A73035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Aucune activité salariée n’est autorisée pendant cette période.</w:t>
            </w:r>
          </w:p>
        </w:tc>
      </w:tr>
      <w:tr w:rsidR="00DB4FDD" w:rsidRPr="001A0F3C" w14:paraId="22C865A9" w14:textId="77777777" w:rsidTr="00145869">
        <w:trPr>
          <w:jc w:val="center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B1583" w14:textId="77777777" w:rsidR="00381A61" w:rsidRPr="00381A61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 xml:space="preserve">Disponibilité pour mandat d’élu local </w:t>
            </w:r>
          </w:p>
          <w:p w14:paraId="13051371" w14:textId="3C92C2F4" w:rsidR="00381A61" w:rsidRPr="00381A61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</w:pPr>
            <w:r w:rsidRPr="00381A61">
              <w:rPr>
                <w:rFonts w:ascii="Arial" w:eastAsia="ヒラギノ角ゴ Pro W3" w:hAnsi="Arial" w:cs="Arial"/>
                <w:i/>
                <w:color w:val="000000"/>
                <w:sz w:val="18"/>
                <w:szCs w:val="18"/>
              </w:rPr>
              <w:t>Art. 47 alinéa 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78927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Durée du mandat électif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5725D" w14:textId="77777777" w:rsidR="00DB4FDD" w:rsidRPr="001A0F3C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-</w:t>
            </w:r>
            <w:r w:rsidR="00DB4FDD"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Attestation de la collectivité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216B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  <w:t>Disponibilité de droit.</w:t>
            </w:r>
          </w:p>
          <w:p w14:paraId="2F4BD239" w14:textId="77777777" w:rsidR="00DB4FDD" w:rsidRPr="001A0F3C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b/>
                <w:color w:val="000000"/>
                <w:sz w:val="18"/>
                <w:szCs w:val="18"/>
              </w:rPr>
            </w:pPr>
          </w:p>
          <w:p w14:paraId="0ACCB212" w14:textId="77777777" w:rsidR="00DB4FDD" w:rsidRDefault="00DB4FDD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  <w:r w:rsidRPr="001A0F3C"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  <w:t>Aucune activité salariée n’est autorisée pendant cette période.</w:t>
            </w:r>
          </w:p>
          <w:p w14:paraId="69D81C73" w14:textId="77777777" w:rsidR="00381A61" w:rsidRPr="001A0F3C" w:rsidRDefault="00381A61" w:rsidP="00145869">
            <w:pPr>
              <w:spacing w:after="0" w:line="240" w:lineRule="auto"/>
              <w:jc w:val="both"/>
              <w:rPr>
                <w:rFonts w:ascii="Arial" w:eastAsia="ヒラギノ角ゴ Pro W3" w:hAnsi="Arial" w:cs="Arial"/>
                <w:color w:val="000000"/>
                <w:sz w:val="18"/>
                <w:szCs w:val="18"/>
              </w:rPr>
            </w:pPr>
          </w:p>
        </w:tc>
      </w:tr>
    </w:tbl>
    <w:p w14:paraId="7CF0BDDC" w14:textId="77777777" w:rsidR="00BD05C5" w:rsidRPr="009029E8" w:rsidRDefault="00BD05C5" w:rsidP="009029E8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0"/>
        </w:rPr>
      </w:pPr>
    </w:p>
    <w:sectPr w:rsidR="00BD05C5" w:rsidRPr="009029E8" w:rsidSect="006D59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CEF2" w14:textId="77777777" w:rsidR="00C52B01" w:rsidRDefault="00C52B01">
      <w:pPr>
        <w:spacing w:after="0" w:line="240" w:lineRule="auto"/>
      </w:pPr>
      <w:r>
        <w:separator/>
      </w:r>
    </w:p>
  </w:endnote>
  <w:endnote w:type="continuationSeparator" w:id="0">
    <w:p w14:paraId="3B4D03C0" w14:textId="77777777" w:rsidR="00C52B01" w:rsidRDefault="00C5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FE64" w14:textId="77777777" w:rsidR="00E900E9" w:rsidRDefault="009029E8" w:rsidP="00EE47C4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07005E9" w14:textId="77777777" w:rsidR="00E900E9" w:rsidRDefault="00E900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8869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E0A901C" w14:textId="77777777" w:rsidR="00145869" w:rsidRPr="00145869" w:rsidRDefault="00145869">
        <w:pPr>
          <w:pStyle w:val="Pieddepage"/>
          <w:jc w:val="center"/>
          <w:rPr>
            <w:sz w:val="16"/>
            <w:szCs w:val="16"/>
          </w:rPr>
        </w:pPr>
        <w:r w:rsidRPr="00145869">
          <w:rPr>
            <w:sz w:val="16"/>
            <w:szCs w:val="16"/>
          </w:rPr>
          <w:fldChar w:fldCharType="begin"/>
        </w:r>
        <w:r w:rsidRPr="00145869">
          <w:rPr>
            <w:sz w:val="16"/>
            <w:szCs w:val="16"/>
          </w:rPr>
          <w:instrText>PAGE   \* MERGEFORMAT</w:instrText>
        </w:r>
        <w:r w:rsidRPr="00145869">
          <w:rPr>
            <w:sz w:val="16"/>
            <w:szCs w:val="16"/>
          </w:rPr>
          <w:fldChar w:fldCharType="separate"/>
        </w:r>
        <w:r w:rsidR="00C84702">
          <w:rPr>
            <w:noProof/>
            <w:sz w:val="16"/>
            <w:szCs w:val="16"/>
          </w:rPr>
          <w:t>3</w:t>
        </w:r>
        <w:r w:rsidRPr="00145869">
          <w:rPr>
            <w:sz w:val="16"/>
            <w:szCs w:val="16"/>
          </w:rPr>
          <w:fldChar w:fldCharType="end"/>
        </w:r>
      </w:p>
    </w:sdtContent>
  </w:sdt>
  <w:p w14:paraId="36475438" w14:textId="77777777" w:rsidR="00145869" w:rsidRDefault="001458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9955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2423C6" w14:textId="77777777" w:rsidR="0033268D" w:rsidRPr="0033268D" w:rsidRDefault="0033268D">
        <w:pPr>
          <w:pStyle w:val="Pieddepage"/>
          <w:jc w:val="center"/>
          <w:rPr>
            <w:sz w:val="16"/>
            <w:szCs w:val="16"/>
          </w:rPr>
        </w:pPr>
        <w:r w:rsidRPr="0033268D">
          <w:rPr>
            <w:sz w:val="16"/>
            <w:szCs w:val="16"/>
          </w:rPr>
          <w:fldChar w:fldCharType="begin"/>
        </w:r>
        <w:r w:rsidRPr="0033268D">
          <w:rPr>
            <w:sz w:val="16"/>
            <w:szCs w:val="16"/>
          </w:rPr>
          <w:instrText>PAGE   \* MERGEFORMAT</w:instrText>
        </w:r>
        <w:r w:rsidRPr="0033268D">
          <w:rPr>
            <w:sz w:val="16"/>
            <w:szCs w:val="16"/>
          </w:rPr>
          <w:fldChar w:fldCharType="separate"/>
        </w:r>
        <w:r w:rsidR="00C84702">
          <w:rPr>
            <w:noProof/>
            <w:sz w:val="16"/>
            <w:szCs w:val="16"/>
          </w:rPr>
          <w:t>1</w:t>
        </w:r>
        <w:r w:rsidRPr="0033268D">
          <w:rPr>
            <w:sz w:val="16"/>
            <w:szCs w:val="16"/>
          </w:rPr>
          <w:fldChar w:fldCharType="end"/>
        </w:r>
      </w:p>
    </w:sdtContent>
  </w:sdt>
  <w:p w14:paraId="687D2983" w14:textId="77777777" w:rsidR="00B164D7" w:rsidRDefault="00B164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CC54" w14:textId="77777777" w:rsidR="00C52B01" w:rsidRDefault="00C52B01">
      <w:pPr>
        <w:spacing w:after="0" w:line="240" w:lineRule="auto"/>
      </w:pPr>
      <w:r>
        <w:separator/>
      </w:r>
    </w:p>
  </w:footnote>
  <w:footnote w:type="continuationSeparator" w:id="0">
    <w:p w14:paraId="3842C9DE" w14:textId="77777777" w:rsidR="00C52B01" w:rsidRDefault="00C5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FD9B" w14:textId="77777777" w:rsidR="001B7461" w:rsidRDefault="001B7461">
    <w:pPr>
      <w:pStyle w:val="En-tte"/>
    </w:pPr>
    <w:r w:rsidRPr="009F3058">
      <w:rPr>
        <w:b/>
        <w:bCs/>
        <w:noProof/>
        <w:sz w:val="28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3ADBCF56" wp14:editId="1DADF8B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1115695" cy="1123315"/>
          <wp:effectExtent l="0" t="0" r="8255" b="635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D72"/>
    <w:multiLevelType w:val="hybridMultilevel"/>
    <w:tmpl w:val="753A8C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1732"/>
    <w:multiLevelType w:val="hybridMultilevel"/>
    <w:tmpl w:val="39085BB6"/>
    <w:lvl w:ilvl="0" w:tplc="466887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62734"/>
    <w:multiLevelType w:val="hybridMultilevel"/>
    <w:tmpl w:val="695A2246"/>
    <w:lvl w:ilvl="0" w:tplc="466887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3617"/>
    <w:multiLevelType w:val="hybridMultilevel"/>
    <w:tmpl w:val="A886CDF2"/>
    <w:lvl w:ilvl="0" w:tplc="3C5867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B7E"/>
    <w:multiLevelType w:val="hybridMultilevel"/>
    <w:tmpl w:val="7004B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7835">
    <w:abstractNumId w:val="4"/>
  </w:num>
  <w:num w:numId="2" w16cid:durableId="56439180">
    <w:abstractNumId w:val="2"/>
  </w:num>
  <w:num w:numId="3" w16cid:durableId="1692103626">
    <w:abstractNumId w:val="1"/>
  </w:num>
  <w:num w:numId="4" w16cid:durableId="129826935">
    <w:abstractNumId w:val="3"/>
  </w:num>
  <w:num w:numId="5" w16cid:durableId="87893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E8"/>
    <w:rsid w:val="00084240"/>
    <w:rsid w:val="000844F0"/>
    <w:rsid w:val="000C661C"/>
    <w:rsid w:val="000D08EF"/>
    <w:rsid w:val="000D5E6B"/>
    <w:rsid w:val="00145869"/>
    <w:rsid w:val="001610FD"/>
    <w:rsid w:val="00170379"/>
    <w:rsid w:val="001A0F3C"/>
    <w:rsid w:val="001B7461"/>
    <w:rsid w:val="001F58F2"/>
    <w:rsid w:val="002563F3"/>
    <w:rsid w:val="0033268D"/>
    <w:rsid w:val="00381A61"/>
    <w:rsid w:val="003965DF"/>
    <w:rsid w:val="003A0A08"/>
    <w:rsid w:val="004905CB"/>
    <w:rsid w:val="004B08EB"/>
    <w:rsid w:val="00597C5D"/>
    <w:rsid w:val="005D7D19"/>
    <w:rsid w:val="00625E45"/>
    <w:rsid w:val="00683EF9"/>
    <w:rsid w:val="006A3222"/>
    <w:rsid w:val="006D5919"/>
    <w:rsid w:val="00711F26"/>
    <w:rsid w:val="00765FBA"/>
    <w:rsid w:val="007F3C0C"/>
    <w:rsid w:val="009029E8"/>
    <w:rsid w:val="00947E68"/>
    <w:rsid w:val="00981959"/>
    <w:rsid w:val="009B772B"/>
    <w:rsid w:val="009E664B"/>
    <w:rsid w:val="00AF23A0"/>
    <w:rsid w:val="00B164D7"/>
    <w:rsid w:val="00BB2CCD"/>
    <w:rsid w:val="00BD05C5"/>
    <w:rsid w:val="00C02B36"/>
    <w:rsid w:val="00C053FF"/>
    <w:rsid w:val="00C361BD"/>
    <w:rsid w:val="00C52B01"/>
    <w:rsid w:val="00C84702"/>
    <w:rsid w:val="00CA3EF5"/>
    <w:rsid w:val="00CC35BB"/>
    <w:rsid w:val="00CD0535"/>
    <w:rsid w:val="00CD46B3"/>
    <w:rsid w:val="00D92A8D"/>
    <w:rsid w:val="00DB4FDD"/>
    <w:rsid w:val="00DE6CB4"/>
    <w:rsid w:val="00E36159"/>
    <w:rsid w:val="00E67FA7"/>
    <w:rsid w:val="00E81653"/>
    <w:rsid w:val="00E900E9"/>
    <w:rsid w:val="00F053AA"/>
    <w:rsid w:val="00F13B8D"/>
    <w:rsid w:val="00F44466"/>
    <w:rsid w:val="00FA0D03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1FCA"/>
  <w15:docId w15:val="{E0E81C29-5B90-4D8F-A005-B272B54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661C"/>
    <w:pPr>
      <w:keepNext/>
      <w:keepLines/>
      <w:shd w:val="clear" w:color="auto" w:fill="F2F2F2" w:themeFill="background1" w:themeFillShade="F2"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9E8"/>
  </w:style>
  <w:style w:type="paragraph" w:styleId="Pieddepage">
    <w:name w:val="footer"/>
    <w:basedOn w:val="Normal"/>
    <w:link w:val="PieddepageCar"/>
    <w:uiPriority w:val="99"/>
    <w:unhideWhenUsed/>
    <w:rsid w:val="0090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9E8"/>
  </w:style>
  <w:style w:type="character" w:styleId="Numrodepage">
    <w:name w:val="page number"/>
    <w:basedOn w:val="Policepardfaut"/>
    <w:uiPriority w:val="99"/>
    <w:semiHidden/>
    <w:unhideWhenUsed/>
    <w:rsid w:val="009029E8"/>
  </w:style>
  <w:style w:type="paragraph" w:styleId="NormalWeb">
    <w:name w:val="Normal (Web)"/>
    <w:basedOn w:val="Normal"/>
    <w:uiPriority w:val="99"/>
    <w:semiHidden/>
    <w:unhideWhenUsed/>
    <w:rsid w:val="009029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B746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C661C"/>
    <w:pPr>
      <w:shd w:val="clear" w:color="auto" w:fill="E7E6E6" w:themeFill="background2"/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661C"/>
    <w:rPr>
      <w:rFonts w:ascii="Arial" w:eastAsiaTheme="majorEastAsia" w:hAnsi="Arial" w:cstheme="majorBidi"/>
      <w:spacing w:val="-10"/>
      <w:kern w:val="28"/>
      <w:sz w:val="56"/>
      <w:szCs w:val="56"/>
      <w:shd w:val="clear" w:color="auto" w:fill="E7E6E6" w:themeFill="background2"/>
    </w:rPr>
  </w:style>
  <w:style w:type="character" w:customStyle="1" w:styleId="Titre1Car">
    <w:name w:val="Titre 1 Car"/>
    <w:basedOn w:val="Policepardfaut"/>
    <w:link w:val="Titre1"/>
    <w:uiPriority w:val="9"/>
    <w:rsid w:val="000C661C"/>
    <w:rPr>
      <w:rFonts w:ascii="Arial" w:eastAsiaTheme="majorEastAsia" w:hAnsi="Arial" w:cstheme="majorBidi"/>
      <w:sz w:val="32"/>
      <w:szCs w:val="32"/>
      <w:shd w:val="clear" w:color="auto" w:fill="F2F2F2" w:themeFill="background1" w:themeFillShade="F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15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E6C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-pari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Carbonnel Emmanuelle</cp:lastModifiedBy>
  <cp:revision>6</cp:revision>
  <cp:lastPrinted>2023-01-18T17:03:00Z</cp:lastPrinted>
  <dcterms:created xsi:type="dcterms:W3CDTF">2026-01-08T16:30:00Z</dcterms:created>
  <dcterms:modified xsi:type="dcterms:W3CDTF">2026-01-09T10:16:00Z</dcterms:modified>
</cp:coreProperties>
</file>